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61BC" w:rsidRDefault="00F361BC" w:rsidP="00F361BC">
      <w:pPr>
        <w:pStyle w:val="st7"/>
        <w:ind w:left="6480"/>
        <w:rPr>
          <w:rStyle w:val="st161"/>
        </w:rPr>
      </w:pPr>
      <w:r>
        <w:rPr>
          <w:rStyle w:val="st42"/>
        </w:rPr>
        <w:t>Додаток 1</w:t>
      </w:r>
      <w:r>
        <w:rPr>
          <w:rStyle w:val="st42"/>
        </w:rPr>
        <w:br/>
        <w:t>до Порядку</w:t>
      </w:r>
    </w:p>
    <w:p w:rsidR="008E2EB3" w:rsidRDefault="004D02AA">
      <w:pPr>
        <w:pStyle w:val="st7"/>
        <w:rPr>
          <w:rStyle w:val="st161"/>
        </w:rPr>
      </w:pPr>
      <w:r>
        <w:rPr>
          <w:rStyle w:val="st161"/>
        </w:rPr>
        <w:t xml:space="preserve">ІНФОРМАЦІЯ </w:t>
      </w:r>
      <w:r>
        <w:rPr>
          <w:rStyle w:val="st161"/>
        </w:rPr>
        <w:br/>
        <w:t>про проведення управителями об’єктів обстеження та оцінки ступеня безбар’єрності об’єктів фізичного оточення і послуг для осіб з інвалідністю</w:t>
      </w:r>
    </w:p>
    <w:tbl>
      <w:tblPr>
        <w:tblW w:w="5000" w:type="pct"/>
        <w:tblCellSpacing w:w="0" w:type="dxa"/>
        <w:tblInd w:w="48" w:type="dxa"/>
        <w:tblLayout w:type="fixed"/>
        <w:tblCellMar>
          <w:top w:w="48" w:type="dxa"/>
          <w:left w:w="48" w:type="dxa"/>
          <w:bottom w:w="48" w:type="dxa"/>
          <w:right w:w="48" w:type="dxa"/>
        </w:tblCellMar>
        <w:tblLook w:val="0000"/>
      </w:tblPr>
      <w:tblGrid>
        <w:gridCol w:w="598"/>
        <w:gridCol w:w="16"/>
        <w:gridCol w:w="3389"/>
        <w:gridCol w:w="1297"/>
        <w:gridCol w:w="1206"/>
        <w:gridCol w:w="641"/>
        <w:gridCol w:w="348"/>
        <w:gridCol w:w="86"/>
        <w:gridCol w:w="962"/>
        <w:gridCol w:w="230"/>
        <w:gridCol w:w="1241"/>
        <w:gridCol w:w="55"/>
      </w:tblGrid>
      <w:tr w:rsidR="008E2EB3">
        <w:trPr>
          <w:gridAfter w:val="1"/>
          <w:wAfter w:w="78" w:type="dxa"/>
          <w:tblCellSpacing w:w="0" w:type="dxa"/>
        </w:trPr>
        <w:tc>
          <w:tcPr>
            <w:tcW w:w="16542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2EB3" w:rsidRDefault="004D02AA">
            <w:pPr>
              <w:pStyle w:val="st12"/>
              <w:rPr>
                <w:rStyle w:val="st42"/>
              </w:rPr>
            </w:pPr>
            <w:r>
              <w:rPr>
                <w:rStyle w:val="st42"/>
              </w:rPr>
              <w:t>Загальна інформація про об’єкт</w:t>
            </w:r>
          </w:p>
        </w:tc>
      </w:tr>
      <w:tr w:rsidR="008E2EB3">
        <w:tblPrEx>
          <w:tblCellSpacing w:w="-6" w:type="dxa"/>
        </w:tblPrEx>
        <w:trPr>
          <w:gridAfter w:val="1"/>
          <w:wAfter w:w="78" w:type="dxa"/>
          <w:tblCellSpacing w:w="-6" w:type="dxa"/>
        </w:trPr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2"/>
              <w:rPr>
                <w:rStyle w:val="st42"/>
              </w:rPr>
            </w:pPr>
            <w:r>
              <w:rPr>
                <w:rStyle w:val="st42"/>
              </w:rPr>
              <w:t>1.</w:t>
            </w:r>
          </w:p>
        </w:tc>
        <w:tc>
          <w:tcPr>
            <w:tcW w:w="1159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Дата проведення обстеження</w:t>
            </w:r>
            <w:r w:rsidR="00896482">
              <w:rPr>
                <w:rStyle w:val="st42"/>
              </w:rPr>
              <w:t xml:space="preserve"> – </w:t>
            </w:r>
            <w:r w:rsidR="00896482">
              <w:rPr>
                <w:rStyle w:val="st42"/>
                <w:lang w:val="en-US"/>
              </w:rPr>
              <w:t>15</w:t>
            </w:r>
            <w:r w:rsidR="00EB7EF5">
              <w:rPr>
                <w:rStyle w:val="st42"/>
              </w:rPr>
              <w:t>.04.2025 року</w:t>
            </w:r>
          </w:p>
        </w:tc>
        <w:tc>
          <w:tcPr>
            <w:tcW w:w="40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</w:tblPrEx>
        <w:trPr>
          <w:gridAfter w:val="1"/>
          <w:wAfter w:w="78" w:type="dxa"/>
          <w:tblCellSpacing w:w="-6" w:type="dxa"/>
        </w:trPr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2"/>
              <w:rPr>
                <w:rStyle w:val="st42"/>
              </w:rPr>
            </w:pPr>
            <w:r>
              <w:rPr>
                <w:rStyle w:val="st42"/>
              </w:rPr>
              <w:t>2.</w:t>
            </w:r>
          </w:p>
        </w:tc>
        <w:tc>
          <w:tcPr>
            <w:tcW w:w="1159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 w:rsidP="00896482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Адреса розташування об’єкта</w:t>
            </w:r>
            <w:r w:rsidR="009723AA">
              <w:rPr>
                <w:rStyle w:val="st42"/>
              </w:rPr>
              <w:t xml:space="preserve"> – </w:t>
            </w:r>
            <w:r w:rsidR="00896482">
              <w:rPr>
                <w:rStyle w:val="st42"/>
              </w:rPr>
              <w:t>ФОП «Горючкіна Т.В</w:t>
            </w:r>
            <w:r w:rsidR="005944D6">
              <w:rPr>
                <w:rStyle w:val="st42"/>
              </w:rPr>
              <w:t>.</w:t>
            </w:r>
            <w:r w:rsidR="00461B36">
              <w:rPr>
                <w:rStyle w:val="st42"/>
              </w:rPr>
              <w:t xml:space="preserve">, </w:t>
            </w:r>
            <w:r w:rsidR="009723AA">
              <w:rPr>
                <w:rStyle w:val="st42"/>
              </w:rPr>
              <w:t xml:space="preserve">                 </w:t>
            </w:r>
            <w:r w:rsidR="00461B36">
              <w:rPr>
                <w:rStyle w:val="st42"/>
              </w:rPr>
              <w:t xml:space="preserve">вул. </w:t>
            </w:r>
            <w:r w:rsidR="00896482">
              <w:rPr>
                <w:rStyle w:val="st42"/>
              </w:rPr>
              <w:t>Слобідська,7 , с. Рунівщина</w:t>
            </w:r>
            <w:r w:rsidR="00EB7EF5">
              <w:rPr>
                <w:rStyle w:val="st42"/>
              </w:rPr>
              <w:t>, Берестинський район, Харківська область.</w:t>
            </w:r>
          </w:p>
        </w:tc>
        <w:tc>
          <w:tcPr>
            <w:tcW w:w="40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</w:tblPrEx>
        <w:trPr>
          <w:gridAfter w:val="1"/>
          <w:wAfter w:w="78" w:type="dxa"/>
          <w:tblCellSpacing w:w="-6" w:type="dxa"/>
        </w:trPr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2"/>
              <w:rPr>
                <w:rStyle w:val="st42"/>
              </w:rPr>
            </w:pPr>
            <w:r>
              <w:rPr>
                <w:rStyle w:val="st42"/>
              </w:rPr>
              <w:t>3.</w:t>
            </w:r>
          </w:p>
        </w:tc>
        <w:tc>
          <w:tcPr>
            <w:tcW w:w="1159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Форма власності</w:t>
            </w:r>
            <w:r w:rsidR="005944D6">
              <w:rPr>
                <w:rStyle w:val="st42"/>
              </w:rPr>
              <w:t xml:space="preserve"> – приватна</w:t>
            </w:r>
            <w:r w:rsidR="00EB7EF5">
              <w:rPr>
                <w:rStyle w:val="st42"/>
              </w:rPr>
              <w:t>.</w:t>
            </w:r>
          </w:p>
        </w:tc>
        <w:tc>
          <w:tcPr>
            <w:tcW w:w="40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</w:tblPrEx>
        <w:trPr>
          <w:gridAfter w:val="1"/>
          <w:wAfter w:w="78" w:type="dxa"/>
          <w:tblCellSpacing w:w="-6" w:type="dxa"/>
        </w:trPr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2"/>
              <w:rPr>
                <w:rStyle w:val="st42"/>
              </w:rPr>
            </w:pPr>
            <w:r>
              <w:rPr>
                <w:rStyle w:val="st42"/>
              </w:rPr>
              <w:t>4.</w:t>
            </w:r>
          </w:p>
        </w:tc>
        <w:tc>
          <w:tcPr>
            <w:tcW w:w="1159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Найменування послуги</w:t>
            </w:r>
            <w:r w:rsidR="00EB7EF5">
              <w:rPr>
                <w:rStyle w:val="st42"/>
              </w:rPr>
              <w:t xml:space="preserve"> –</w:t>
            </w:r>
            <w:r w:rsidR="00461B36">
              <w:rPr>
                <w:rStyle w:val="st42"/>
              </w:rPr>
              <w:t xml:space="preserve"> продаж продовольчих товарів</w:t>
            </w:r>
            <w:r w:rsidR="00EB7EF5">
              <w:rPr>
                <w:rStyle w:val="st42"/>
              </w:rPr>
              <w:t>.</w:t>
            </w:r>
          </w:p>
        </w:tc>
        <w:tc>
          <w:tcPr>
            <w:tcW w:w="40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</w:tblPrEx>
        <w:trPr>
          <w:gridAfter w:val="1"/>
          <w:wAfter w:w="78" w:type="dxa"/>
          <w:tblCellSpacing w:w="-6" w:type="dxa"/>
        </w:trPr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2"/>
              <w:rPr>
                <w:rStyle w:val="st42"/>
              </w:rPr>
            </w:pPr>
            <w:r>
              <w:rPr>
                <w:rStyle w:val="st42"/>
              </w:rPr>
              <w:t>5.</w:t>
            </w:r>
          </w:p>
        </w:tc>
        <w:tc>
          <w:tcPr>
            <w:tcW w:w="1159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 w:rsidP="00896482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Особа, яка проводила обстеження</w:t>
            </w:r>
            <w:r w:rsidR="00EB7EF5">
              <w:rPr>
                <w:rStyle w:val="st42"/>
              </w:rPr>
              <w:t xml:space="preserve"> – староста </w:t>
            </w:r>
            <w:r w:rsidR="00896482">
              <w:rPr>
                <w:rStyle w:val="st42"/>
              </w:rPr>
              <w:t>Микола ЖУВАК</w:t>
            </w:r>
          </w:p>
        </w:tc>
        <w:tc>
          <w:tcPr>
            <w:tcW w:w="40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</w:tblPrEx>
        <w:trPr>
          <w:gridAfter w:val="1"/>
          <w:wAfter w:w="78" w:type="dxa"/>
          <w:tblCellSpacing w:w="-6" w:type="dxa"/>
        </w:trPr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2"/>
              <w:rPr>
                <w:rStyle w:val="st42"/>
              </w:rPr>
            </w:pPr>
            <w:r>
              <w:rPr>
                <w:rStyle w:val="st42"/>
              </w:rPr>
              <w:t>6.</w:t>
            </w:r>
          </w:p>
        </w:tc>
        <w:tc>
          <w:tcPr>
            <w:tcW w:w="1159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 w:rsidP="00896482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Контактні дані про особу, яка проводила обстеження (контактний номер телефону, адреса електронної пошти)</w:t>
            </w:r>
            <w:r w:rsidR="00EB7EF5">
              <w:rPr>
                <w:rStyle w:val="st42"/>
              </w:rPr>
              <w:t xml:space="preserve"> - </w:t>
            </w:r>
            <w:r w:rsidR="00896482">
              <w:rPr>
                <w:rStyle w:val="st42"/>
              </w:rPr>
              <w:t>0997259996</w:t>
            </w:r>
          </w:p>
        </w:tc>
        <w:tc>
          <w:tcPr>
            <w:tcW w:w="40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Header/>
          <w:tblCellSpacing w:w="0" w:type="dxa"/>
        </w:trPr>
        <w:tc>
          <w:tcPr>
            <w:tcW w:w="11838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EB3" w:rsidRDefault="004D02AA">
            <w:pPr>
              <w:pStyle w:val="st12"/>
              <w:rPr>
                <w:rStyle w:val="st44"/>
              </w:rPr>
            </w:pPr>
            <w:r>
              <w:rPr>
                <w:rStyle w:val="st44"/>
              </w:rPr>
              <w:t xml:space="preserve">Критерії безбар’єрності об’єктів фізичного оточення і послуг для осіб з інвалідністю </w:t>
            </w:r>
          </w:p>
        </w:tc>
        <w:tc>
          <w:tcPr>
            <w:tcW w:w="22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EB3" w:rsidRDefault="004D02AA">
            <w:pPr>
              <w:pStyle w:val="st12"/>
              <w:rPr>
                <w:rStyle w:val="st44"/>
              </w:rPr>
            </w:pPr>
            <w:r>
              <w:rPr>
                <w:rStyle w:val="st44"/>
              </w:rPr>
              <w:t xml:space="preserve">Відповідність критеріям </w:t>
            </w:r>
            <w:r>
              <w:rPr>
                <w:rStyle w:val="st44"/>
              </w:rPr>
              <w:br/>
              <w:t>(так або ні)</w:t>
            </w:r>
          </w:p>
        </w:tc>
        <w:tc>
          <w:tcPr>
            <w:tcW w:w="24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8E2EB3" w:rsidRDefault="004D02AA">
            <w:pPr>
              <w:pStyle w:val="st12"/>
              <w:rPr>
                <w:rStyle w:val="st44"/>
              </w:rPr>
            </w:pPr>
            <w:r>
              <w:rPr>
                <w:rStyle w:val="st44"/>
              </w:rPr>
              <w:t>Примітки</w:t>
            </w: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2"/>
              <w:rPr>
                <w:rStyle w:val="st42"/>
              </w:rPr>
            </w:pPr>
            <w:r>
              <w:rPr>
                <w:rStyle w:val="st42"/>
              </w:rPr>
              <w:t>1.</w:t>
            </w: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Шляхи руху до будівлі: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1) місця для безоплатного паркування транспортних засобів, якими керують особи з інвалідністю або водії, які перевозять осіб з інвалідністю, розташовуються на відстані не більш як 50 метрів від входу до будівлі або споруди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EB7EF5" w:rsidP="002B410A">
            <w:pPr>
              <w:pStyle w:val="st14"/>
              <w:jc w:val="center"/>
              <w:rPr>
                <w:rStyle w:val="st42"/>
              </w:rPr>
            </w:pPr>
            <w:r>
              <w:rPr>
                <w:rStyle w:val="st42"/>
              </w:rPr>
              <w:t>так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2) таких місць не менш як 10 відсотків загальної кількості (але не менш як одне місце), місця позначені дорожніми знаками та горизонтальною розміткою з піктограмами міжнародного символу доступності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9723AA" w:rsidP="002B410A">
            <w:pPr>
              <w:pStyle w:val="st14"/>
              <w:jc w:val="center"/>
              <w:rPr>
                <w:rStyle w:val="st42"/>
              </w:rPr>
            </w:pPr>
            <w:r>
              <w:rPr>
                <w:rStyle w:val="st42"/>
              </w:rPr>
              <w:t>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3) ширина входу на прилеглу територію та ширина дверей, хвірток (у разі їх наявності) становить не менше 0,9 метра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96482" w:rsidP="002B410A">
            <w:pPr>
              <w:pStyle w:val="st14"/>
              <w:jc w:val="center"/>
              <w:rPr>
                <w:rStyle w:val="st42"/>
              </w:rPr>
            </w:pPr>
            <w:r>
              <w:rPr>
                <w:rStyle w:val="st42"/>
              </w:rPr>
              <w:t>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4) ширина пішохідних доріжок до будівлі становить не менше 1,8 метра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D6758B" w:rsidP="002B410A">
            <w:pPr>
              <w:pStyle w:val="st14"/>
              <w:jc w:val="center"/>
              <w:rPr>
                <w:rStyle w:val="st42"/>
              </w:rPr>
            </w:pPr>
            <w:r>
              <w:rPr>
                <w:rStyle w:val="st42"/>
              </w:rPr>
              <w:t>так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5) покриття пішохідних доріжок, тротуарів і пандусів рівне (без вибоїн, без застосування як верхнього шару покриття насипних або крупноструктурних матеріалів, що перешкоджають пересуванню на кріслах колісних або з милицями)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61B36" w:rsidP="002B410A">
            <w:pPr>
              <w:pStyle w:val="st14"/>
              <w:jc w:val="center"/>
              <w:rPr>
                <w:rStyle w:val="st42"/>
              </w:rPr>
            </w:pPr>
            <w:r>
              <w:rPr>
                <w:rStyle w:val="st42"/>
              </w:rPr>
              <w:t>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6) у разі наявності на прилеглій території та/або на шляху до будівлі сходів вони продубльовані пандусом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61B36" w:rsidP="002B410A">
            <w:pPr>
              <w:pStyle w:val="st14"/>
              <w:jc w:val="center"/>
              <w:rPr>
                <w:rStyle w:val="st42"/>
              </w:rPr>
            </w:pPr>
            <w:r>
              <w:rPr>
                <w:rStyle w:val="st42"/>
              </w:rPr>
              <w:t>-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7) нахил пандуса становить не більш як 8 відсотків (на 1 метр довжини не більше 8 сантиметрів підйому), уздовж обох боків усіх сходів і пандусів встановлено огорожу з поручнями, поручні пандусів розташовані на висоті 0,7 і 0,9 метра, завершальні частини поручнів продовжені по горизонталі на 0,3 метра (як вгорі, так і внизу) або застосовано піднімальні пристрої, що відповідають вимогам державних стандартів, які встановлюють вимоги до зазначеного обладнання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61B36" w:rsidP="002B410A">
            <w:pPr>
              <w:pStyle w:val="st14"/>
              <w:jc w:val="center"/>
              <w:rPr>
                <w:rStyle w:val="st42"/>
              </w:rPr>
            </w:pPr>
            <w:r>
              <w:rPr>
                <w:rStyle w:val="st42"/>
              </w:rPr>
              <w:t>-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8) всі сходи в межах одного маршу однакові за формою в плані, за шириною сходинки і висотою підйому сходинок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D6758B" w:rsidP="002B410A">
            <w:pPr>
              <w:pStyle w:val="st14"/>
              <w:jc w:val="center"/>
              <w:rPr>
                <w:rStyle w:val="st42"/>
              </w:rPr>
            </w:pPr>
            <w:r>
              <w:rPr>
                <w:rStyle w:val="st42"/>
              </w:rPr>
              <w:t>так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9) систему засобів орієнтації, інформаційної підтримки та безпеки, а саме тактильні та візуальні елементи доступності, передбачені на всіх шляхах руху до будівель і споруд (включаючи контрастне маркування кольором першої/останньої сходинки, порогів, інших об’єктів та перешкод)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EB7EF5" w:rsidP="002B410A">
            <w:pPr>
              <w:pStyle w:val="st14"/>
              <w:jc w:val="center"/>
              <w:rPr>
                <w:rStyle w:val="st42"/>
              </w:rPr>
            </w:pPr>
            <w:r>
              <w:rPr>
                <w:rStyle w:val="st42"/>
              </w:rPr>
              <w:t>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10) міжнародним символом доступності позначено шляхи/напрямки, доступні та безпечні для осіб з інвалідністю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EB7EF5" w:rsidP="002B410A">
            <w:pPr>
              <w:pStyle w:val="st14"/>
              <w:jc w:val="center"/>
              <w:rPr>
                <w:rStyle w:val="st42"/>
              </w:rPr>
            </w:pPr>
            <w:r>
              <w:rPr>
                <w:rStyle w:val="st42"/>
              </w:rPr>
              <w:t>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2"/>
              <w:rPr>
                <w:rStyle w:val="st42"/>
              </w:rPr>
            </w:pPr>
            <w:r>
              <w:rPr>
                <w:rStyle w:val="st42"/>
              </w:rPr>
              <w:t>2.</w:t>
            </w: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Вхідна група: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 w:rsidP="002B410A">
            <w:pPr>
              <w:pStyle w:val="st14"/>
              <w:jc w:val="center"/>
              <w:rPr>
                <w:rStyle w:val="st42"/>
              </w:rPr>
            </w:pP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1) вхідна група до об’єкта облаштована доступними (візуально та тактильно) інформаційними покажчиками: адресна табличка, інформація про: назву, опис діяльності установи, години роботи; інша довідкова інформація тощо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D6758B" w:rsidP="002B410A">
            <w:pPr>
              <w:pStyle w:val="st14"/>
              <w:jc w:val="center"/>
              <w:rPr>
                <w:rStyle w:val="st42"/>
              </w:rPr>
            </w:pPr>
            <w:r>
              <w:rPr>
                <w:rStyle w:val="st42"/>
              </w:rPr>
              <w:t>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2) у разі наявності на вході до будівлі або споруди сходів вони продубльовані пандусом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61B36" w:rsidP="002B410A">
            <w:pPr>
              <w:pStyle w:val="st14"/>
              <w:jc w:val="center"/>
              <w:rPr>
                <w:rStyle w:val="st42"/>
              </w:rPr>
            </w:pPr>
            <w:r>
              <w:rPr>
                <w:rStyle w:val="st42"/>
              </w:rPr>
              <w:t>-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3) нахил пандуса становить не більш як 8 відсотків (на 1 метр довжини не більше 8 сантиметрів підйому), уздовж обох боків усіх сходів і пандусів встановлено огорожу з поручнями, поручні пандусів розташовані на висоті 0,7 і 0,9 метра, завершальні частини поручнів продовжені по горизонталі на 0,3 метра (як вгорі, так і внизу) або застосовано піднімальні пристрої, що відповідають вимогам державних стандартів, які встановлюють вимоги до зазначеного обладнання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61B36" w:rsidP="002B410A">
            <w:pPr>
              <w:pStyle w:val="st14"/>
              <w:jc w:val="center"/>
              <w:rPr>
                <w:rStyle w:val="st42"/>
              </w:rPr>
            </w:pPr>
            <w:r>
              <w:rPr>
                <w:rStyle w:val="st42"/>
              </w:rPr>
              <w:t>-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 xml:space="preserve">4) всі сходи в межах одного маршу однакові за формою в плані, </w:t>
            </w:r>
            <w:r>
              <w:rPr>
                <w:rStyle w:val="st42"/>
              </w:rPr>
              <w:lastRenderedPageBreak/>
              <w:t>за шириною сходинки і висотою підйому сходинок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96482" w:rsidP="002B410A">
            <w:pPr>
              <w:pStyle w:val="st14"/>
              <w:jc w:val="center"/>
              <w:rPr>
                <w:rStyle w:val="st42"/>
              </w:rPr>
            </w:pPr>
            <w:r>
              <w:rPr>
                <w:rStyle w:val="st42"/>
              </w:rPr>
              <w:lastRenderedPageBreak/>
              <w:t>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5) двері облаштовані спеціальними пристосуваннями для фіксації дверних полотен в положенні “зачинено” і “відчинено”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2C7E0C" w:rsidP="002B410A">
            <w:pPr>
              <w:pStyle w:val="st14"/>
              <w:jc w:val="center"/>
              <w:rPr>
                <w:rStyle w:val="st42"/>
              </w:rPr>
            </w:pPr>
            <w:r>
              <w:rPr>
                <w:rStyle w:val="st42"/>
              </w:rPr>
              <w:t>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6) за наявності прозорих дверних (фасадних) конструкцій на них нанесено відповідне контрастне маркування кольором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2C7E0C" w:rsidP="002B410A">
            <w:pPr>
              <w:pStyle w:val="st14"/>
              <w:jc w:val="center"/>
              <w:rPr>
                <w:rStyle w:val="st42"/>
              </w:rPr>
            </w:pPr>
            <w:r>
              <w:rPr>
                <w:rStyle w:val="st42"/>
              </w:rPr>
              <w:t>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7) дверні отвори без порогів і перепадів висот, ширина дверних отворів становить не менш як 0,9 метра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61B36" w:rsidP="002B410A">
            <w:pPr>
              <w:pStyle w:val="st14"/>
              <w:jc w:val="center"/>
              <w:rPr>
                <w:rStyle w:val="st42"/>
              </w:rPr>
            </w:pPr>
            <w:r>
              <w:rPr>
                <w:rStyle w:val="st42"/>
              </w:rPr>
              <w:t>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8) за наявності порогів висота кожного елемента порога не перевищує 0,02 метра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96482" w:rsidP="002B410A">
            <w:pPr>
              <w:pStyle w:val="st14"/>
              <w:jc w:val="center"/>
              <w:rPr>
                <w:rStyle w:val="st42"/>
              </w:rPr>
            </w:pPr>
            <w:r>
              <w:rPr>
                <w:rStyle w:val="st42"/>
              </w:rPr>
              <w:t>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9) кути порогів заокруглені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2C7E0C" w:rsidP="002B410A">
            <w:pPr>
              <w:pStyle w:val="st14"/>
              <w:jc w:val="center"/>
              <w:rPr>
                <w:rStyle w:val="st42"/>
              </w:rPr>
            </w:pPr>
            <w:r>
              <w:rPr>
                <w:rStyle w:val="st42"/>
              </w:rPr>
              <w:t>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10) на першу/останню сходинки, пороги, інші об’єкти та перешкоди нанесено контрастне маркування кольором (ширина маркування горизонтальної площини ребра - 0,05-0,1 метра, вертикальної - 0,03-0,05 метра)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2C7E0C" w:rsidP="002B410A">
            <w:pPr>
              <w:pStyle w:val="st14"/>
              <w:jc w:val="center"/>
              <w:rPr>
                <w:rStyle w:val="st42"/>
              </w:rPr>
            </w:pPr>
            <w:r>
              <w:rPr>
                <w:rStyle w:val="st42"/>
              </w:rPr>
              <w:t>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11) розміри в плані тамбура (у разі його наявності) становлять не менше 1,5 х 1,5 метра (або такі, що дають змогу маневрувати кріслу колісному)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61B36" w:rsidP="002B410A">
            <w:pPr>
              <w:pStyle w:val="st14"/>
              <w:jc w:val="center"/>
              <w:rPr>
                <w:rStyle w:val="st42"/>
              </w:rPr>
            </w:pPr>
            <w:r>
              <w:rPr>
                <w:rStyle w:val="st42"/>
              </w:rPr>
              <w:t>-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12) майданчик перед входом, а також пандус, сходи, піднімальні пристрої для осіб з інвалідністю захищені від атмосферних опадів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61B36" w:rsidP="002B410A">
            <w:pPr>
              <w:pStyle w:val="st14"/>
              <w:jc w:val="center"/>
              <w:rPr>
                <w:rStyle w:val="st42"/>
              </w:rPr>
            </w:pPr>
            <w:r>
              <w:rPr>
                <w:rStyle w:val="st42"/>
              </w:rPr>
              <w:t>-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13) відсутні перешкоди (решітка з розміром чарунок більше за 0,015 м х 0,015 метра/щітка для витирання ніг, рівень верху яких не збігається з рівнем підлоги) та перепади висоти підлоги на вході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2C7E0C" w:rsidP="002B410A">
            <w:pPr>
              <w:pStyle w:val="st14"/>
              <w:jc w:val="center"/>
              <w:rPr>
                <w:rStyle w:val="st42"/>
              </w:rPr>
            </w:pPr>
            <w:r>
              <w:rPr>
                <w:rStyle w:val="st42"/>
              </w:rPr>
              <w:t>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14) у разі наявності турнікета його ширина у просвіті становить не менше 1 метра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D6758B" w:rsidP="002B410A">
            <w:pPr>
              <w:pStyle w:val="st14"/>
              <w:jc w:val="center"/>
              <w:rPr>
                <w:rStyle w:val="st42"/>
              </w:rPr>
            </w:pPr>
            <w:r>
              <w:rPr>
                <w:rStyle w:val="st42"/>
              </w:rPr>
              <w:t>-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2"/>
              <w:rPr>
                <w:rStyle w:val="st42"/>
              </w:rPr>
            </w:pPr>
            <w:r>
              <w:rPr>
                <w:rStyle w:val="st42"/>
              </w:rPr>
              <w:t>3.</w:t>
            </w: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Шляхи руху всередині будівлі, приміщення, де надається послуга, допоміжні приміщення: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 w:rsidP="002B410A">
            <w:pPr>
              <w:pStyle w:val="st14"/>
              <w:jc w:val="center"/>
              <w:rPr>
                <w:rStyle w:val="st42"/>
              </w:rPr>
            </w:pP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1) у разі наявності на шляхах руху осіб з інвалідністю сходів вони продубльовані пандусом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D6758B" w:rsidP="002B410A">
            <w:pPr>
              <w:pStyle w:val="st14"/>
              <w:jc w:val="center"/>
              <w:rPr>
                <w:rStyle w:val="st42"/>
              </w:rPr>
            </w:pPr>
            <w:r>
              <w:rPr>
                <w:rStyle w:val="st42"/>
              </w:rPr>
              <w:t>-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2) нахил пандуса становить не більш як 8 відсотків (на 1 метр довжини не більше 8 сантиметрів підйому), уздовж обох боків усіх сходів і пандусів встановлено огорожу з поручнями, поручні пандусів розташовані на висоті 0,7 і 0,9 метра, завершальні частини поручнів продовжені по горизонталі на 0,3 метра (як вгорі, так і внизу) або застосовано піднімальні пристрої, що відповідають вимогам державних стандартів, які встановлюють вимоги до зазначеного обладнання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D6758B" w:rsidP="002B410A">
            <w:pPr>
              <w:pStyle w:val="st14"/>
              <w:jc w:val="center"/>
              <w:rPr>
                <w:rStyle w:val="st42"/>
              </w:rPr>
            </w:pPr>
            <w:r>
              <w:rPr>
                <w:rStyle w:val="st42"/>
              </w:rPr>
              <w:t>-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3) всі сходи в межах одного маршу однакові за формою в плані, за шириною сходинки і висотою підйому сходинок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D6758B" w:rsidP="002B410A">
            <w:pPr>
              <w:pStyle w:val="st14"/>
              <w:jc w:val="center"/>
              <w:rPr>
                <w:rStyle w:val="st42"/>
              </w:rPr>
            </w:pPr>
            <w:r>
              <w:rPr>
                <w:rStyle w:val="st42"/>
              </w:rPr>
              <w:t>-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4) двері облаштовані спеціальними пристосуваннями для фіксації дверних полотен в положенні “зачинено” і “відчинено”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61B36" w:rsidP="002B410A">
            <w:pPr>
              <w:pStyle w:val="st14"/>
              <w:jc w:val="center"/>
              <w:rPr>
                <w:rStyle w:val="st42"/>
              </w:rPr>
            </w:pPr>
            <w:r>
              <w:rPr>
                <w:rStyle w:val="st42"/>
              </w:rPr>
              <w:t>-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5) за наявності прозорих дверних (фасадних) конструкцій на них нанесено відповідне контрастне маркування кольором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61B36" w:rsidP="002B410A">
            <w:pPr>
              <w:pStyle w:val="st14"/>
              <w:jc w:val="center"/>
              <w:rPr>
                <w:rStyle w:val="st42"/>
              </w:rPr>
            </w:pPr>
            <w:r>
              <w:rPr>
                <w:rStyle w:val="st42"/>
              </w:rPr>
              <w:t>-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6) дверні отвори без порогів і перепадів висот, ширина дверних отворів становить не менш як 0,9 метра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61B36" w:rsidP="002B410A">
            <w:pPr>
              <w:pStyle w:val="st14"/>
              <w:jc w:val="center"/>
              <w:rPr>
                <w:rStyle w:val="st42"/>
              </w:rPr>
            </w:pPr>
            <w:r>
              <w:rPr>
                <w:rStyle w:val="st42"/>
              </w:rPr>
              <w:t>-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7) за наявності порогів висота кожного елемента порога не перевищує 0,02 метра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61B36" w:rsidP="002B410A">
            <w:pPr>
              <w:pStyle w:val="st14"/>
              <w:jc w:val="center"/>
              <w:rPr>
                <w:rStyle w:val="st42"/>
              </w:rPr>
            </w:pPr>
            <w:r>
              <w:rPr>
                <w:rStyle w:val="st42"/>
              </w:rPr>
              <w:t>-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8) кути порогів заокруглені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61B36" w:rsidP="002B410A">
            <w:pPr>
              <w:pStyle w:val="st14"/>
              <w:jc w:val="center"/>
              <w:rPr>
                <w:rStyle w:val="st42"/>
              </w:rPr>
            </w:pPr>
            <w:r>
              <w:rPr>
                <w:rStyle w:val="st42"/>
              </w:rPr>
              <w:t>-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9) на першу/останню сходинки, пороги, інші об’єкти та перешкоди нанесено контрастне маркування кольором (ширина маркування горизонтальної площини ребра - 0,05-0,1 метра, вертикальної - 0,03-0,05 метра)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D6758B" w:rsidP="002B410A">
            <w:pPr>
              <w:pStyle w:val="st14"/>
              <w:jc w:val="center"/>
              <w:rPr>
                <w:rStyle w:val="st42"/>
              </w:rPr>
            </w:pPr>
            <w:r>
              <w:rPr>
                <w:rStyle w:val="st42"/>
              </w:rPr>
              <w:t>-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10) шляхи руху оснащені засобами орієнтування та інформування (зокрема, тактильні та візуальні елементи доступності, позначення кольором сходинок, порогів, елементів обладнання, прозорих елементів конструкцій, інших об’єктів) та для осіб з порушеннями слуху (зокрема, інформаційні термінали, екрани, табло з написами у вигляді рухомого рядка, пристрої для забезпечення текстового або відеозв’язку, перекладу на жестову мову, оснащення спеціальними персональними приладами підсилення звуку), що відповідають вимогам державних стандартів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D6758B" w:rsidP="002B410A">
            <w:pPr>
              <w:pStyle w:val="st14"/>
              <w:jc w:val="center"/>
              <w:rPr>
                <w:rStyle w:val="st42"/>
              </w:rPr>
            </w:pPr>
            <w:r>
              <w:rPr>
                <w:rStyle w:val="st42"/>
              </w:rPr>
              <w:t>-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11) у приміщенні відсутні предмети /перепони (горизонтальні та такі, що виступають над поверхнею підлоги, конструкції, бордюри, пороги тощо) на шляхах руху осіб з інвалідністю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D226C7" w:rsidP="002B410A">
            <w:pPr>
              <w:pStyle w:val="st14"/>
              <w:jc w:val="center"/>
              <w:rPr>
                <w:rStyle w:val="st42"/>
              </w:rPr>
            </w:pPr>
            <w:r>
              <w:rPr>
                <w:rStyle w:val="st42"/>
              </w:rPr>
              <w:t>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12) у разі розташування приміщень, де надаються послуги, або допоміжних приміщень вище першого поверху вони обладнані ліфтом, ескалатором, підйомником тощо, доступними для користування осіб з інвалідністю, що відповідають вимогам державних стандартів, які встановлюють вимоги до зазначеного обладнання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2C7E0C" w:rsidP="002B410A">
            <w:pPr>
              <w:pStyle w:val="st14"/>
              <w:jc w:val="center"/>
              <w:rPr>
                <w:rStyle w:val="st42"/>
              </w:rPr>
            </w:pPr>
            <w:r>
              <w:rPr>
                <w:rStyle w:val="st42"/>
              </w:rPr>
              <w:t>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13) процес відкриття/закриття дверей ліфта супроводжується звуковим сигналом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D6758B" w:rsidP="002B410A">
            <w:pPr>
              <w:pStyle w:val="st14"/>
              <w:jc w:val="center"/>
              <w:rPr>
                <w:rStyle w:val="st42"/>
              </w:rPr>
            </w:pPr>
            <w:r>
              <w:rPr>
                <w:rStyle w:val="st42"/>
              </w:rPr>
              <w:t>-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14) під час зупинки ліфта рівень його підлоги залишається в рівень із підлогою поверху (допускається відхилення не більш як 0,02 метра)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D6758B" w:rsidP="002B410A">
            <w:pPr>
              <w:pStyle w:val="st14"/>
              <w:jc w:val="center"/>
              <w:rPr>
                <w:rStyle w:val="st42"/>
              </w:rPr>
            </w:pPr>
            <w:r>
              <w:rPr>
                <w:rStyle w:val="st42"/>
              </w:rPr>
              <w:t>-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15) номери поверхів, зазначені на кнопках ліфта, намальовані збільшеним шрифтом та у контрастному співвідношенні кольорів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D6758B" w:rsidP="002B410A">
            <w:pPr>
              <w:pStyle w:val="st14"/>
              <w:jc w:val="center"/>
              <w:rPr>
                <w:rStyle w:val="st42"/>
              </w:rPr>
            </w:pPr>
            <w:r>
              <w:rPr>
                <w:rStyle w:val="st42"/>
              </w:rPr>
              <w:t>-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16) номери поверхів, зазначені на кнопках ліфта, продубльовані у тактильному вигляді та шрифтом Брайля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D6758B" w:rsidP="002B410A">
            <w:pPr>
              <w:pStyle w:val="st14"/>
              <w:jc w:val="center"/>
              <w:rPr>
                <w:rStyle w:val="st42"/>
              </w:rPr>
            </w:pPr>
            <w:r>
              <w:rPr>
                <w:rStyle w:val="st42"/>
              </w:rPr>
              <w:t>-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17) ліфт обладнано функцією голосового повідомлення номера поверху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D6758B" w:rsidP="002B410A">
            <w:pPr>
              <w:pStyle w:val="st14"/>
              <w:jc w:val="center"/>
              <w:rPr>
                <w:rStyle w:val="st42"/>
              </w:rPr>
            </w:pPr>
            <w:r>
              <w:rPr>
                <w:rStyle w:val="st42"/>
              </w:rPr>
              <w:t>-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18) навпроти дверей ліфта наявна табличка із номером поверху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D6758B" w:rsidP="002B410A">
            <w:pPr>
              <w:pStyle w:val="st14"/>
              <w:jc w:val="center"/>
              <w:rPr>
                <w:rStyle w:val="st42"/>
              </w:rPr>
            </w:pPr>
            <w:r>
              <w:rPr>
                <w:rStyle w:val="st42"/>
              </w:rPr>
              <w:t>-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19) ширина дверей ліфта не менш як 0,9 метра</w:t>
            </w:r>
            <w:r w:rsidR="002C7E0C">
              <w:rPr>
                <w:rStyle w:val="st42"/>
              </w:rPr>
              <w:t xml:space="preserve">                    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D6758B" w:rsidP="002B410A">
            <w:pPr>
              <w:pStyle w:val="st14"/>
              <w:jc w:val="center"/>
              <w:rPr>
                <w:rStyle w:val="st42"/>
              </w:rPr>
            </w:pPr>
            <w:r>
              <w:rPr>
                <w:rStyle w:val="st42"/>
              </w:rPr>
              <w:t>-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20) висота розташування зовнішньої кнопки виклику та висота розташування кнопок керування ліфтом від 900 до 1100 міліметрів від підлоги кабіни і поверхової площадки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D6758B" w:rsidP="002B410A">
            <w:pPr>
              <w:pStyle w:val="st14"/>
              <w:jc w:val="center"/>
              <w:rPr>
                <w:rStyle w:val="st42"/>
              </w:rPr>
            </w:pPr>
            <w:r>
              <w:rPr>
                <w:rStyle w:val="st42"/>
              </w:rPr>
              <w:t>-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 w:rsidP="002B410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 xml:space="preserve">21) санітарно-гігієнічні та інші допоміжні приміщення розраховані на осіб з </w:t>
            </w:r>
            <w:r w:rsidR="002B410A">
              <w:rPr>
                <w:rStyle w:val="st42"/>
              </w:rPr>
              <w:t>інвалідністю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2B410A" w:rsidP="002B410A">
            <w:pPr>
              <w:pStyle w:val="st14"/>
              <w:jc w:val="center"/>
              <w:rPr>
                <w:rStyle w:val="st42"/>
              </w:rPr>
            </w:pPr>
            <w:r>
              <w:rPr>
                <w:rStyle w:val="st42"/>
              </w:rPr>
              <w:t>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22) у туалетах загального користування (у разі їх наявності) (окремо для чоловіків і жінок) виконано універсальну кабіну з можливістю заїзду до неї та переміщення в ній осіб у кріслах колісних (у туалетах та/або універсальних кабінах наявне в плані вільне від обладнання коло діаметром 1,5 метра)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2C7E0C" w:rsidP="002B410A">
            <w:pPr>
              <w:pStyle w:val="st14"/>
              <w:jc w:val="center"/>
              <w:rPr>
                <w:rStyle w:val="st42"/>
              </w:rPr>
            </w:pPr>
            <w:r>
              <w:rPr>
                <w:rStyle w:val="st42"/>
              </w:rPr>
              <w:t>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23) окремі санітарно-гігієнічні приміщення (з окремим входом) обладнані аварійною (тривожною) сигналізацією з урахуванням осіб з порушеннями зору та слуху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B070C5" w:rsidP="002B410A">
            <w:pPr>
              <w:pStyle w:val="st14"/>
              <w:jc w:val="center"/>
              <w:rPr>
                <w:rStyle w:val="st42"/>
              </w:rPr>
            </w:pPr>
            <w:r>
              <w:rPr>
                <w:rStyle w:val="st42"/>
              </w:rPr>
              <w:t>-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24) привод сигналізації розташовано в межах між 0,8-1,1 метра над рівнем підлоги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B070C5" w:rsidP="002B410A">
            <w:pPr>
              <w:pStyle w:val="st14"/>
              <w:jc w:val="center"/>
              <w:rPr>
                <w:rStyle w:val="st42"/>
              </w:rPr>
            </w:pPr>
            <w:r>
              <w:rPr>
                <w:rStyle w:val="st42"/>
              </w:rPr>
              <w:t>-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25) шляхи/напрямки, доступні та безпечні для осіб з інвалідністю, позначено міжнародним знаком доступності для зручності осіб з інвалідністю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61B36" w:rsidP="002B410A">
            <w:pPr>
              <w:pStyle w:val="st14"/>
              <w:jc w:val="center"/>
              <w:rPr>
                <w:rStyle w:val="st42"/>
              </w:rPr>
            </w:pPr>
            <w:r>
              <w:rPr>
                <w:rStyle w:val="st42"/>
              </w:rPr>
              <w:t>-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26) місце розташування пандуса (у разі його наявності) позначено міжнародним знаком доступності для зручності осіб з інвалідністю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61B36" w:rsidP="002B410A">
            <w:pPr>
              <w:pStyle w:val="st14"/>
              <w:jc w:val="center"/>
              <w:rPr>
                <w:rStyle w:val="st42"/>
              </w:rPr>
            </w:pPr>
            <w:r>
              <w:rPr>
                <w:rStyle w:val="st42"/>
              </w:rPr>
              <w:t>-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27) місце розташування санітарно-гігієнічного приміщення, доступного для осіб з інвалідністю, позначено міжнародним знаком доступності для зручності осіб з інвалідністю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61B36" w:rsidP="002B410A">
            <w:pPr>
              <w:pStyle w:val="st14"/>
              <w:jc w:val="center"/>
              <w:rPr>
                <w:rStyle w:val="st42"/>
              </w:rPr>
            </w:pPr>
            <w:r>
              <w:rPr>
                <w:rStyle w:val="st42"/>
              </w:rPr>
              <w:t>-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28) напрямок руху до евакуаційних шляхів та виходів, доступних для осіб з інвалідністю, позначено міжнародним знаком доступності для зручності осіб з інвалідністю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61B36" w:rsidP="002B410A">
            <w:pPr>
              <w:pStyle w:val="st14"/>
              <w:jc w:val="center"/>
              <w:rPr>
                <w:rStyle w:val="st42"/>
              </w:rPr>
            </w:pPr>
            <w:r>
              <w:rPr>
                <w:rStyle w:val="st42"/>
              </w:rPr>
              <w:t>-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29) за визначеної потреби на вході/виході до/з будівлі встановлено план-схему, що сприятиме самостійній навігації (орієнтуванню) на об’єкті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61B36" w:rsidP="002B410A">
            <w:pPr>
              <w:pStyle w:val="st14"/>
              <w:jc w:val="center"/>
              <w:rPr>
                <w:rStyle w:val="st42"/>
              </w:rPr>
            </w:pPr>
            <w:r>
              <w:rPr>
                <w:rStyle w:val="st42"/>
              </w:rPr>
              <w:t>-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 xml:space="preserve">30) відповідна схема виконана в доступних </w:t>
            </w:r>
            <w:r w:rsidR="002C7E0C">
              <w:rPr>
                <w:rStyle w:val="st42"/>
              </w:rPr>
              <w:t xml:space="preserve">                              </w:t>
            </w:r>
            <w:r>
              <w:rPr>
                <w:rStyle w:val="st42"/>
              </w:rPr>
              <w:t>(візуально/тактильно) форматах</w:t>
            </w:r>
            <w:r w:rsidR="002C7E0C">
              <w:rPr>
                <w:rStyle w:val="st42"/>
              </w:rPr>
              <w:t xml:space="preserve">                                       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61B36" w:rsidP="002B410A">
            <w:pPr>
              <w:pStyle w:val="st14"/>
              <w:jc w:val="center"/>
              <w:rPr>
                <w:rStyle w:val="st42"/>
              </w:rPr>
            </w:pPr>
            <w:r>
              <w:rPr>
                <w:rStyle w:val="st42"/>
              </w:rPr>
              <w:t>-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31) у приміщенні, де надаються послуги, допоміжних приміщеннях на шляхах руху осіб з інвалідністю штучне освітлення відповідає вимогам санітарних норм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2C7E0C" w:rsidP="002B410A">
            <w:pPr>
              <w:pStyle w:val="st14"/>
              <w:jc w:val="center"/>
              <w:rPr>
                <w:rStyle w:val="st42"/>
              </w:rPr>
            </w:pPr>
            <w:r>
              <w:rPr>
                <w:rStyle w:val="st42"/>
              </w:rPr>
              <w:t>так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 xml:space="preserve">32) у приміщенні, де надаються послуги, допоміжних </w:t>
            </w:r>
            <w:r w:rsidR="002C7E0C">
              <w:rPr>
                <w:rStyle w:val="st42"/>
              </w:rPr>
              <w:t xml:space="preserve"> </w:t>
            </w:r>
            <w:r>
              <w:rPr>
                <w:rStyle w:val="st42"/>
              </w:rPr>
              <w:t>приміщеннях на шляхах руху осіб з інвалідністю немає предметів/перепон (горизонтальні та такі, що виступають над поверхнею підлоги, конструкції, пороги тощо)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7C6FF8" w:rsidP="002B410A">
            <w:pPr>
              <w:pStyle w:val="st14"/>
              <w:jc w:val="center"/>
              <w:rPr>
                <w:rStyle w:val="st42"/>
              </w:rPr>
            </w:pPr>
            <w:r>
              <w:rPr>
                <w:rStyle w:val="st42"/>
              </w:rPr>
              <w:t>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33) ширина шляху руху в коридорах, приміщеннях, галереях на шляхах руху осіб з інвалідністю у чистоті не менш як 1,5 метра під час руху в одному напрямку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7C6FF8" w:rsidP="002B410A">
            <w:pPr>
              <w:pStyle w:val="st14"/>
              <w:jc w:val="center"/>
              <w:rPr>
                <w:rStyle w:val="st42"/>
              </w:rPr>
            </w:pPr>
            <w:r>
              <w:rPr>
                <w:rStyle w:val="st42"/>
              </w:rPr>
              <w:t>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34) ширина шляху руху в коридорах, приміщеннях, галереях на шляхах руху осіб з інвалідністю у чистоті не менш як 1,8 метра зустрічного руху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7C6FF8" w:rsidP="002B410A">
            <w:pPr>
              <w:pStyle w:val="st14"/>
              <w:jc w:val="center"/>
              <w:rPr>
                <w:rStyle w:val="st42"/>
              </w:rPr>
            </w:pPr>
            <w:r>
              <w:rPr>
                <w:rStyle w:val="st42"/>
              </w:rPr>
              <w:t>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35) ширина проходу в приміщенні з обладнанням і меблями не менш як 1,2 метра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B070C5" w:rsidP="002B410A">
            <w:pPr>
              <w:pStyle w:val="st14"/>
              <w:jc w:val="center"/>
              <w:rPr>
                <w:rStyle w:val="st42"/>
              </w:rPr>
            </w:pPr>
            <w:r>
              <w:rPr>
                <w:rStyle w:val="st42"/>
              </w:rPr>
              <w:t>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36) висота об’єктів послуг (столи, стійкі, рецепція), а також пристроїв послуг (банкомати, термінали тощо) повинна становити не більше 0,9 метра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61B36" w:rsidP="002B410A">
            <w:pPr>
              <w:pStyle w:val="st14"/>
              <w:jc w:val="center"/>
              <w:rPr>
                <w:rStyle w:val="st42"/>
              </w:rPr>
            </w:pPr>
            <w:r>
              <w:rPr>
                <w:rStyle w:val="st42"/>
              </w:rPr>
              <w:t>-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37) шляхи евакуації є доступними для осіб з інвалідністю, насамперед осіб, які пересуваються на кріслах колісних, мають порушення зору та слуху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61B36" w:rsidP="002B410A">
            <w:pPr>
              <w:pStyle w:val="st14"/>
              <w:jc w:val="center"/>
              <w:rPr>
                <w:rStyle w:val="st42"/>
              </w:rPr>
            </w:pPr>
            <w:r>
              <w:rPr>
                <w:rStyle w:val="st42"/>
              </w:rPr>
              <w:t>-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38) інформація про евакуаційні виходи (шляхи руху) доступна для осіб з інвалідністю, насамперед осіб, які пересуваються на кріслах колісних, мають порушення зору та слуху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61B36" w:rsidP="002B410A">
            <w:pPr>
              <w:pStyle w:val="st14"/>
              <w:jc w:val="center"/>
              <w:rPr>
                <w:rStyle w:val="st42"/>
              </w:rPr>
            </w:pPr>
            <w:r>
              <w:rPr>
                <w:rStyle w:val="st42"/>
              </w:rPr>
              <w:t>-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39) пристрої сповіщення про надзвичайну ситуацію адаптовані для сприйняття усіма особами з інвалідністю, насамперед особами, які пересуваються на кріслах колісних, мають порушення зору та слуху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61B36" w:rsidP="002B410A">
            <w:pPr>
              <w:pStyle w:val="st14"/>
              <w:jc w:val="center"/>
              <w:rPr>
                <w:rStyle w:val="st42"/>
              </w:rPr>
            </w:pPr>
            <w:r>
              <w:rPr>
                <w:rStyle w:val="st42"/>
              </w:rPr>
              <w:t>-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2"/>
              <w:rPr>
                <w:rStyle w:val="st42"/>
              </w:rPr>
            </w:pPr>
            <w:r>
              <w:rPr>
                <w:rStyle w:val="st42"/>
              </w:rPr>
              <w:t>4.</w:t>
            </w: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 xml:space="preserve">Безбар’єрність послуг для осіб з інвалідністю: 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 w:rsidP="002B410A">
            <w:pPr>
              <w:pStyle w:val="st14"/>
              <w:jc w:val="center"/>
              <w:rPr>
                <w:rStyle w:val="st42"/>
              </w:rPr>
            </w:pP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 xml:space="preserve">1) веб-сайти організації, що розміщена в об’єкті, є доступними для користувачів з порушеннями зору, слуху, опорно-рухового апарату, мовлення та інтелектуального розвитку, а також з різними комбінаціями порушень відповідно до ДСТУ ISO/IEC 40500:2015 “Інформаційні технології. Настанова з доступності </w:t>
            </w:r>
            <w:r>
              <w:rPr>
                <w:rStyle w:val="st42"/>
              </w:rPr>
              <w:lastRenderedPageBreak/>
              <w:t>веб-контенту W3C (WCAG) 2.0” не нижче рівня АА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B070C5" w:rsidP="002B410A">
            <w:pPr>
              <w:pStyle w:val="st14"/>
              <w:jc w:val="center"/>
              <w:rPr>
                <w:rStyle w:val="st42"/>
              </w:rPr>
            </w:pPr>
            <w:r>
              <w:rPr>
                <w:rStyle w:val="st42"/>
              </w:rPr>
              <w:lastRenderedPageBreak/>
              <w:t>-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2) у штаті є (залучається) перекладач на жестову мову або укладено угоду про надання послуг з перекладу на жестову мову з юридичними (фізичними) особами чи передплачено надання відповідного перекладу через мобільні додатки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B070C5" w:rsidP="002B410A">
            <w:pPr>
              <w:pStyle w:val="st14"/>
              <w:jc w:val="center"/>
              <w:rPr>
                <w:rStyle w:val="st42"/>
              </w:rPr>
            </w:pPr>
            <w:r>
              <w:rPr>
                <w:rStyle w:val="st42"/>
              </w:rPr>
              <w:t>-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rPr>
          <w:gridAfter w:val="1"/>
          <w:wAfter w:w="90" w:type="dxa"/>
          <w:trHeight w:val="12"/>
          <w:tblCellSpacing w:w="0" w:type="dxa"/>
        </w:trPr>
        <w:tc>
          <w:tcPr>
            <w:tcW w:w="16530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E2EB3" w:rsidRDefault="004D02AA">
            <w:pPr>
              <w:pStyle w:val="st12"/>
              <w:rPr>
                <w:rStyle w:val="st42"/>
              </w:rPr>
            </w:pPr>
            <w:r>
              <w:rPr>
                <w:rStyle w:val="st42"/>
              </w:rPr>
              <w:t>Серед працюючих кількість осіб</w:t>
            </w:r>
          </w:p>
        </w:tc>
      </w:tr>
      <w:tr w:rsidR="008E2EB3">
        <w:tblPrEx>
          <w:tblCellSpacing w:w="-6" w:type="dxa"/>
        </w:tblPrEx>
        <w:trPr>
          <w:gridAfter w:val="1"/>
          <w:wAfter w:w="90" w:type="dxa"/>
          <w:trHeight w:val="12"/>
          <w:tblCellSpacing w:w="-6" w:type="dxa"/>
        </w:trPr>
        <w:tc>
          <w:tcPr>
            <w:tcW w:w="966" w:type="dxa"/>
            <w:gridSpan w:val="2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EB3" w:rsidRDefault="008E2EB3">
            <w:pPr>
              <w:pStyle w:val="st12"/>
              <w:rPr>
                <w:rStyle w:val="st44"/>
              </w:rPr>
            </w:pPr>
          </w:p>
        </w:tc>
        <w:tc>
          <w:tcPr>
            <w:tcW w:w="57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EB3" w:rsidRDefault="008E2EB3">
            <w:pPr>
              <w:pStyle w:val="st12"/>
              <w:rPr>
                <w:rStyle w:val="st44"/>
              </w:rPr>
            </w:pPr>
          </w:p>
        </w:tc>
        <w:tc>
          <w:tcPr>
            <w:tcW w:w="21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EB3" w:rsidRDefault="004D02AA">
            <w:pPr>
              <w:pStyle w:val="st12"/>
              <w:rPr>
                <w:rStyle w:val="st44"/>
              </w:rPr>
            </w:pPr>
            <w:r>
              <w:rPr>
                <w:rStyle w:val="st44"/>
              </w:rPr>
              <w:t>Усього осіб з інвалідністю</w:t>
            </w:r>
          </w:p>
        </w:tc>
        <w:tc>
          <w:tcPr>
            <w:tcW w:w="771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8E2EB3" w:rsidRDefault="004D02AA">
            <w:pPr>
              <w:pStyle w:val="st12"/>
              <w:rPr>
                <w:rStyle w:val="st44"/>
              </w:rPr>
            </w:pPr>
            <w:r>
              <w:rPr>
                <w:rStyle w:val="st44"/>
              </w:rPr>
              <w:t>З них</w:t>
            </w:r>
          </w:p>
        </w:tc>
      </w:tr>
      <w:tr w:rsidR="008E2EB3">
        <w:tblPrEx>
          <w:tblCellSpacing w:w="-6" w:type="dxa"/>
        </w:tblPrEx>
        <w:trPr>
          <w:gridAfter w:val="1"/>
          <w:wAfter w:w="90" w:type="dxa"/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57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21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EB3" w:rsidRDefault="004D02AA">
            <w:pPr>
              <w:pStyle w:val="st12"/>
              <w:rPr>
                <w:rStyle w:val="st44"/>
              </w:rPr>
            </w:pPr>
            <w:r>
              <w:rPr>
                <w:rStyle w:val="st44"/>
              </w:rPr>
              <w:t>пересуваються на кріслах колісних</w:t>
            </w:r>
          </w:p>
        </w:tc>
        <w:tc>
          <w:tcPr>
            <w:tcW w:w="16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EB3" w:rsidRDefault="004D02AA">
            <w:pPr>
              <w:pStyle w:val="st12"/>
              <w:rPr>
                <w:rStyle w:val="st44"/>
              </w:rPr>
            </w:pPr>
            <w:r>
              <w:rPr>
                <w:rStyle w:val="st44"/>
              </w:rPr>
              <w:t>з порушенням зору</w:t>
            </w:r>
          </w:p>
        </w:tc>
        <w:tc>
          <w:tcPr>
            <w:tcW w:w="21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EB3" w:rsidRDefault="004D02AA">
            <w:pPr>
              <w:pStyle w:val="st12"/>
              <w:rPr>
                <w:rStyle w:val="st44"/>
              </w:rPr>
            </w:pPr>
            <w:r>
              <w:rPr>
                <w:rStyle w:val="st44"/>
              </w:rPr>
              <w:t>з порушенням слуху</w:t>
            </w:r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8E2EB3" w:rsidRDefault="004D02AA">
            <w:pPr>
              <w:pStyle w:val="st12"/>
              <w:rPr>
                <w:rStyle w:val="st44"/>
              </w:rPr>
            </w:pPr>
            <w:r>
              <w:rPr>
                <w:rStyle w:val="st44"/>
              </w:rPr>
              <w:t>мають інші порушення</w:t>
            </w:r>
          </w:p>
        </w:tc>
      </w:tr>
      <w:tr w:rsidR="008E2EB3">
        <w:tblPrEx>
          <w:tblCellSpacing w:w="-6" w:type="dxa"/>
        </w:tblPrEx>
        <w:trPr>
          <w:gridAfter w:val="1"/>
          <w:wAfter w:w="90" w:type="dxa"/>
          <w:trHeight w:val="12"/>
          <w:tblCellSpacing w:w="-6" w:type="dxa"/>
        </w:trPr>
        <w:tc>
          <w:tcPr>
            <w:tcW w:w="966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571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Усього</w:t>
            </w:r>
            <w:r w:rsidR="00735BF1">
              <w:rPr>
                <w:rStyle w:val="st42"/>
              </w:rPr>
              <w:t xml:space="preserve"> – 1</w:t>
            </w:r>
          </w:p>
        </w:tc>
        <w:tc>
          <w:tcPr>
            <w:tcW w:w="213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8E2EB3" w:rsidRDefault="00D6758B">
            <w:pPr>
              <w:pStyle w:val="st12"/>
              <w:rPr>
                <w:rStyle w:val="st42"/>
              </w:rPr>
            </w:pPr>
            <w:r>
              <w:rPr>
                <w:rStyle w:val="st42"/>
              </w:rPr>
              <w:t>-</w:t>
            </w:r>
          </w:p>
        </w:tc>
        <w:tc>
          <w:tcPr>
            <w:tcW w:w="198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8E2EB3" w:rsidRDefault="00D6758B">
            <w:pPr>
              <w:pStyle w:val="st12"/>
              <w:rPr>
                <w:rStyle w:val="st42"/>
              </w:rPr>
            </w:pPr>
            <w:r>
              <w:rPr>
                <w:rStyle w:val="st42"/>
              </w:rPr>
              <w:t>-</w:t>
            </w:r>
          </w:p>
        </w:tc>
        <w:tc>
          <w:tcPr>
            <w:tcW w:w="1608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8E2EB3" w:rsidRDefault="00D6758B">
            <w:pPr>
              <w:pStyle w:val="st12"/>
              <w:rPr>
                <w:rStyle w:val="st42"/>
              </w:rPr>
            </w:pPr>
            <w:r>
              <w:rPr>
                <w:rStyle w:val="st42"/>
              </w:rPr>
              <w:t>-</w:t>
            </w:r>
          </w:p>
        </w:tc>
        <w:tc>
          <w:tcPr>
            <w:tcW w:w="2100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8E2EB3" w:rsidRDefault="00D6758B">
            <w:pPr>
              <w:pStyle w:val="st12"/>
              <w:rPr>
                <w:rStyle w:val="st42"/>
              </w:rPr>
            </w:pPr>
            <w:r>
              <w:rPr>
                <w:rStyle w:val="st42"/>
              </w:rPr>
              <w:t>-</w:t>
            </w:r>
          </w:p>
        </w:tc>
        <w:tc>
          <w:tcPr>
            <w:tcW w:w="202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8E2EB3" w:rsidRDefault="00D6758B">
            <w:pPr>
              <w:pStyle w:val="st12"/>
              <w:rPr>
                <w:rStyle w:val="st42"/>
              </w:rPr>
            </w:pPr>
            <w:r>
              <w:rPr>
                <w:rStyle w:val="st42"/>
              </w:rPr>
              <w:t>-</w:t>
            </w:r>
          </w:p>
        </w:tc>
      </w:tr>
      <w:tr w:rsidR="008E2EB3">
        <w:tblPrEx>
          <w:tblCellSpacing w:w="-6" w:type="dxa"/>
        </w:tblPrEx>
        <w:trPr>
          <w:gridAfter w:val="1"/>
          <w:wAfter w:w="90" w:type="dxa"/>
          <w:trHeight w:val="12"/>
          <w:tblCellSpacing w:w="-6" w:type="dxa"/>
        </w:trPr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5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з них жінки</w:t>
            </w:r>
            <w:r w:rsidR="00735BF1">
              <w:rPr>
                <w:rStyle w:val="st42"/>
              </w:rPr>
              <w:t xml:space="preserve"> - 1</w:t>
            </w:r>
          </w:p>
        </w:tc>
        <w:tc>
          <w:tcPr>
            <w:tcW w:w="2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16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21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2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</w:tr>
      <w:tr w:rsidR="008E2EB3">
        <w:tblPrEx>
          <w:tblCellSpacing w:w="-6" w:type="dxa"/>
        </w:tblPrEx>
        <w:trPr>
          <w:gridAfter w:val="1"/>
          <w:wAfter w:w="90" w:type="dxa"/>
          <w:trHeight w:val="12"/>
          <w:tblCellSpacing w:w="-6" w:type="dxa"/>
        </w:trPr>
        <w:tc>
          <w:tcPr>
            <w:tcW w:w="16530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E2EB3" w:rsidRDefault="004D02AA">
            <w:pPr>
              <w:pStyle w:val="st12"/>
              <w:rPr>
                <w:rStyle w:val="st42"/>
              </w:rPr>
            </w:pPr>
            <w:r>
              <w:rPr>
                <w:rStyle w:val="st42"/>
              </w:rPr>
              <w:t>Серед відвідувачів/клієнтів/ тих, хто навчається з початку року, кількість осіб</w:t>
            </w:r>
          </w:p>
        </w:tc>
      </w:tr>
      <w:tr w:rsidR="008E2EB3">
        <w:tblPrEx>
          <w:tblCellSpacing w:w="-6" w:type="dxa"/>
        </w:tblPrEx>
        <w:trPr>
          <w:gridAfter w:val="1"/>
          <w:wAfter w:w="90" w:type="dxa"/>
          <w:trHeight w:val="12"/>
          <w:tblCellSpacing w:w="-6" w:type="dxa"/>
        </w:trPr>
        <w:tc>
          <w:tcPr>
            <w:tcW w:w="966" w:type="dxa"/>
            <w:gridSpan w:val="2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57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EB3" w:rsidRDefault="008E2EB3">
            <w:pPr>
              <w:pStyle w:val="st12"/>
              <w:rPr>
                <w:rStyle w:val="st44"/>
              </w:rPr>
            </w:pPr>
          </w:p>
        </w:tc>
        <w:tc>
          <w:tcPr>
            <w:tcW w:w="21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EB3" w:rsidRDefault="004D02AA">
            <w:pPr>
              <w:pStyle w:val="st12"/>
              <w:rPr>
                <w:rStyle w:val="st44"/>
              </w:rPr>
            </w:pPr>
            <w:r>
              <w:rPr>
                <w:rStyle w:val="st44"/>
              </w:rPr>
              <w:t>Усього осіб з інвалідністю</w:t>
            </w:r>
          </w:p>
        </w:tc>
        <w:tc>
          <w:tcPr>
            <w:tcW w:w="771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8E2EB3" w:rsidRDefault="004D02AA">
            <w:pPr>
              <w:pStyle w:val="st12"/>
              <w:rPr>
                <w:rStyle w:val="st44"/>
              </w:rPr>
            </w:pPr>
            <w:r>
              <w:rPr>
                <w:rStyle w:val="st44"/>
              </w:rPr>
              <w:t>З них</w:t>
            </w:r>
          </w:p>
        </w:tc>
      </w:tr>
      <w:tr w:rsidR="008E2EB3">
        <w:tblPrEx>
          <w:tblCellSpacing w:w="-6" w:type="dxa"/>
        </w:tblPrEx>
        <w:trPr>
          <w:gridAfter w:val="1"/>
          <w:wAfter w:w="90" w:type="dxa"/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57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21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EB3" w:rsidRDefault="004D02AA">
            <w:pPr>
              <w:pStyle w:val="st12"/>
              <w:rPr>
                <w:rStyle w:val="st44"/>
              </w:rPr>
            </w:pPr>
            <w:r>
              <w:rPr>
                <w:rStyle w:val="st44"/>
              </w:rPr>
              <w:t>пересуваються на кріслах колісних</w:t>
            </w:r>
          </w:p>
        </w:tc>
        <w:tc>
          <w:tcPr>
            <w:tcW w:w="16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EB3" w:rsidRDefault="004D02AA">
            <w:pPr>
              <w:pStyle w:val="st12"/>
              <w:rPr>
                <w:rStyle w:val="st44"/>
              </w:rPr>
            </w:pPr>
            <w:r>
              <w:rPr>
                <w:rStyle w:val="st44"/>
              </w:rPr>
              <w:t>з порушенням зору</w:t>
            </w:r>
          </w:p>
        </w:tc>
        <w:tc>
          <w:tcPr>
            <w:tcW w:w="21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EB3" w:rsidRDefault="004D02AA">
            <w:pPr>
              <w:pStyle w:val="st12"/>
              <w:rPr>
                <w:rStyle w:val="st44"/>
              </w:rPr>
            </w:pPr>
            <w:r>
              <w:rPr>
                <w:rStyle w:val="st44"/>
              </w:rPr>
              <w:t>з порушенням слуху</w:t>
            </w:r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8E2EB3" w:rsidRDefault="004D02AA">
            <w:pPr>
              <w:pStyle w:val="st12"/>
              <w:rPr>
                <w:rStyle w:val="st44"/>
              </w:rPr>
            </w:pPr>
            <w:r>
              <w:rPr>
                <w:rStyle w:val="st44"/>
              </w:rPr>
              <w:t>мають інші порушення</w:t>
            </w:r>
          </w:p>
        </w:tc>
      </w:tr>
      <w:tr w:rsidR="008E2EB3">
        <w:tblPrEx>
          <w:tblCellSpacing w:w="-6" w:type="dxa"/>
        </w:tblPrEx>
        <w:trPr>
          <w:gridAfter w:val="1"/>
          <w:wAfter w:w="90" w:type="dxa"/>
          <w:trHeight w:val="12"/>
          <w:tblCellSpacing w:w="-6" w:type="dxa"/>
        </w:trPr>
        <w:tc>
          <w:tcPr>
            <w:tcW w:w="966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571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Усього</w:t>
            </w:r>
            <w:r w:rsidR="0050579D">
              <w:rPr>
                <w:rStyle w:val="st42"/>
              </w:rPr>
              <w:t xml:space="preserve"> - </w:t>
            </w:r>
            <w:r w:rsidR="007C6FF8">
              <w:rPr>
                <w:rStyle w:val="st42"/>
              </w:rPr>
              <w:t>300</w:t>
            </w:r>
          </w:p>
        </w:tc>
        <w:tc>
          <w:tcPr>
            <w:tcW w:w="213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8E2EB3" w:rsidRDefault="00B070C5">
            <w:pPr>
              <w:pStyle w:val="st12"/>
              <w:rPr>
                <w:rStyle w:val="st42"/>
              </w:rPr>
            </w:pPr>
            <w:r>
              <w:rPr>
                <w:rStyle w:val="st42"/>
              </w:rPr>
              <w:t>2</w:t>
            </w:r>
            <w:r w:rsidR="007C6FF8">
              <w:rPr>
                <w:rStyle w:val="st42"/>
              </w:rPr>
              <w:t>0</w:t>
            </w:r>
          </w:p>
        </w:tc>
        <w:tc>
          <w:tcPr>
            <w:tcW w:w="198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8E2EB3" w:rsidRDefault="00B070C5">
            <w:pPr>
              <w:pStyle w:val="st12"/>
              <w:rPr>
                <w:rStyle w:val="st42"/>
              </w:rPr>
            </w:pPr>
            <w:r>
              <w:rPr>
                <w:rStyle w:val="st42"/>
              </w:rPr>
              <w:t>-</w:t>
            </w:r>
          </w:p>
        </w:tc>
        <w:tc>
          <w:tcPr>
            <w:tcW w:w="1608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8E2EB3" w:rsidRDefault="007C6FF8">
            <w:pPr>
              <w:pStyle w:val="st12"/>
              <w:rPr>
                <w:rStyle w:val="st42"/>
              </w:rPr>
            </w:pPr>
            <w:r>
              <w:rPr>
                <w:rStyle w:val="st42"/>
              </w:rPr>
              <w:t>-</w:t>
            </w:r>
          </w:p>
        </w:tc>
        <w:tc>
          <w:tcPr>
            <w:tcW w:w="2100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8E2EB3" w:rsidRDefault="007C6FF8">
            <w:pPr>
              <w:pStyle w:val="st12"/>
              <w:rPr>
                <w:rStyle w:val="st42"/>
              </w:rPr>
            </w:pPr>
            <w:r>
              <w:rPr>
                <w:rStyle w:val="st42"/>
              </w:rPr>
              <w:t>-</w:t>
            </w:r>
          </w:p>
        </w:tc>
        <w:tc>
          <w:tcPr>
            <w:tcW w:w="202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8E2EB3" w:rsidRDefault="007C6FF8">
            <w:pPr>
              <w:pStyle w:val="st12"/>
              <w:rPr>
                <w:rStyle w:val="st42"/>
              </w:rPr>
            </w:pPr>
            <w:r>
              <w:rPr>
                <w:rStyle w:val="st42"/>
              </w:rPr>
              <w:t>20</w:t>
            </w:r>
          </w:p>
        </w:tc>
      </w:tr>
      <w:tr w:rsidR="008E2EB3">
        <w:tblPrEx>
          <w:tblCellSpacing w:w="-6" w:type="dxa"/>
        </w:tblPrEx>
        <w:trPr>
          <w:gridAfter w:val="1"/>
          <w:wAfter w:w="90" w:type="dxa"/>
          <w:trHeight w:val="12"/>
          <w:tblCellSpacing w:w="-6" w:type="dxa"/>
        </w:trPr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5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з них жінки</w:t>
            </w:r>
            <w:r w:rsidR="0050579D">
              <w:rPr>
                <w:rStyle w:val="st42"/>
              </w:rPr>
              <w:t xml:space="preserve"> </w:t>
            </w:r>
            <w:r w:rsidR="007C6FF8">
              <w:rPr>
                <w:rStyle w:val="st42"/>
              </w:rPr>
              <w:t>–</w:t>
            </w:r>
            <w:r w:rsidR="0050579D">
              <w:rPr>
                <w:rStyle w:val="st42"/>
              </w:rPr>
              <w:t xml:space="preserve"> 2</w:t>
            </w:r>
            <w:r w:rsidR="007C6FF8">
              <w:rPr>
                <w:rStyle w:val="st42"/>
              </w:rPr>
              <w:t>50</w:t>
            </w:r>
          </w:p>
        </w:tc>
        <w:tc>
          <w:tcPr>
            <w:tcW w:w="2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16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21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2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</w:tr>
    </w:tbl>
    <w:p w:rsidR="008E2EB3" w:rsidRDefault="006706DE">
      <w:pPr>
        <w:pStyle w:val="st14"/>
        <w:rPr>
          <w:rStyle w:val="st42"/>
        </w:rPr>
      </w:pPr>
      <w:r>
        <w:rPr>
          <w:rStyle w:val="st42"/>
        </w:rPr>
        <w:t>Підсумки :  об</w:t>
      </w:r>
      <w:r w:rsidRPr="0050579D">
        <w:rPr>
          <w:rStyle w:val="st42"/>
        </w:rPr>
        <w:t>’</w:t>
      </w:r>
      <w:r w:rsidR="0050579D">
        <w:rPr>
          <w:rStyle w:val="st42"/>
        </w:rPr>
        <w:t>єкт  є бар</w:t>
      </w:r>
      <w:r w:rsidR="0050579D" w:rsidRPr="0050579D">
        <w:rPr>
          <w:rStyle w:val="st42"/>
        </w:rPr>
        <w:t>’</w:t>
      </w:r>
      <w:r w:rsidR="0050579D">
        <w:rPr>
          <w:rStyle w:val="st42"/>
        </w:rPr>
        <w:t>єрним, так як не має пандусу, підйомника та кнопки виклику</w:t>
      </w:r>
      <w:r w:rsidR="0050579D" w:rsidRPr="0050579D">
        <w:rPr>
          <w:rStyle w:val="st42"/>
        </w:rPr>
        <w:t xml:space="preserve"> </w:t>
      </w:r>
      <w:r w:rsidR="001631AA">
        <w:rPr>
          <w:rStyle w:val="st42"/>
        </w:rPr>
        <w:t>, що перешкоджає</w:t>
      </w:r>
      <w:r w:rsidR="0050579D">
        <w:rPr>
          <w:rStyle w:val="st42"/>
        </w:rPr>
        <w:t xml:space="preserve"> пересуванню на </w:t>
      </w:r>
      <w:r w:rsidR="001631AA">
        <w:rPr>
          <w:rStyle w:val="st42"/>
        </w:rPr>
        <w:t>кріслах колісних або з милицями.</w:t>
      </w:r>
      <w:r w:rsidR="004D02AA">
        <w:rPr>
          <w:rStyle w:val="st42"/>
        </w:rPr>
        <w:t>*</w:t>
      </w:r>
    </w:p>
    <w:p w:rsidR="006802AB" w:rsidRDefault="004D02AA">
      <w:pPr>
        <w:pStyle w:val="st8"/>
        <w:rPr>
          <w:rStyle w:val="st82"/>
          <w:color w:val="2F5496" w:themeColor="accent5" w:themeShade="BF"/>
        </w:rPr>
      </w:pPr>
      <w:r>
        <w:rPr>
          <w:rStyle w:val="st82"/>
        </w:rPr>
        <w:t>__________</w:t>
      </w:r>
      <w:r>
        <w:rPr>
          <w:rStyle w:val="st82"/>
        </w:rPr>
        <w:br/>
        <w:t>* Зазначається:</w:t>
      </w:r>
      <w:r>
        <w:rPr>
          <w:rStyle w:val="st82"/>
        </w:rPr>
        <w:br/>
      </w:r>
      <w:r w:rsidRPr="006802AB">
        <w:rPr>
          <w:rStyle w:val="st82"/>
          <w:color w:val="538135" w:themeColor="accent6" w:themeShade="BF"/>
        </w:rPr>
        <w:t xml:space="preserve">об’єкт є безбар’єрним. Людина, яка користується кріслом колісним або є незрячою, може самостійно зайти на об’єкт та вільно в ньому пересуватися та скористатися евакуаційним виходом. Такий об’єкт має вхідну групу в рівень з підлогою (або нормативний пандус </w:t>
      </w:r>
      <w:r w:rsidR="00345E51">
        <w:rPr>
          <w:rStyle w:val="st82"/>
          <w:color w:val="538135" w:themeColor="accent6" w:themeShade="BF"/>
        </w:rPr>
        <w:t>чи підйомник),</w:t>
      </w:r>
      <w:r w:rsidRPr="006802AB">
        <w:rPr>
          <w:rStyle w:val="st82"/>
          <w:color w:val="538135" w:themeColor="accent6" w:themeShade="BF"/>
        </w:rPr>
        <w:t>рину всіх дверей не менше 90 сантиметрів, ліфт або підйомник (або бути одноповерховим), щонайменше одну доступну для осіб, які пересуваються на кріслах колісних, санітарно-гігієнічну кімнату із допоміжними поручнями біля унітазу, призначену для відвідувачів обох статей, тактильні направляючі та одну мнемосхему при вході;</w:t>
      </w:r>
      <w:r w:rsidRPr="006802AB">
        <w:rPr>
          <w:rStyle w:val="st82"/>
          <w:color w:val="538135" w:themeColor="accent6" w:themeShade="BF"/>
        </w:rPr>
        <w:br/>
      </w:r>
      <w:r w:rsidRPr="006802AB">
        <w:rPr>
          <w:rStyle w:val="st82"/>
          <w:color w:val="2F5496" w:themeColor="accent5" w:themeShade="BF"/>
        </w:rPr>
        <w:t>об’єкт має часткову безбар’єрність. Людина, яка користується кріслом колісним або є незрячою, може самостійно зайти на об’єкт та вільно в ньому пересуватися. Такий об’єкт має вхідну групу в рівень з підлогою (чи нормативний пандус (або його кут має відхилення від нормативного не більш як на 10 відсотків), ширину всіх дверей або більшості 80-89 сантиметрів, ліфт (або бути одноповерховим), щонайменше одну доступну для осіб, які пересуваються на кріслах колісних, санітарно-гігієнічну кімнату із допоміжними поручнями біля унітазу, що призначена для відвідувачів;</w:t>
      </w:r>
    </w:p>
    <w:p w:rsidR="008E2EB3" w:rsidRPr="006802AB" w:rsidRDefault="00BE0ABD">
      <w:pPr>
        <w:pStyle w:val="st8"/>
        <w:rPr>
          <w:rStyle w:val="st82"/>
          <w:color w:val="FF0000"/>
        </w:rPr>
      </w:pPr>
      <w:r w:rsidRPr="006802AB">
        <w:rPr>
          <w:rStyle w:val="st82"/>
          <w:color w:val="FF0000"/>
        </w:rPr>
        <w:t xml:space="preserve"> </w:t>
      </w:r>
      <w:r w:rsidR="004D02AA" w:rsidRPr="006802AB">
        <w:rPr>
          <w:rStyle w:val="st82"/>
          <w:color w:val="FF0000"/>
        </w:rPr>
        <w:t>об’єкт є бар’єрним. Всі інші об’єкти, крім тих, що належать до першого та другого рівня.</w:t>
      </w:r>
    </w:p>
    <w:p w:rsidR="00D24A1D" w:rsidRDefault="00D24A1D">
      <w:pPr>
        <w:pStyle w:val="st14"/>
        <w:rPr>
          <w:rStyle w:val="st42"/>
        </w:rPr>
      </w:pPr>
    </w:p>
    <w:p w:rsidR="00D24A1D" w:rsidRDefault="00D24A1D">
      <w:pPr>
        <w:pStyle w:val="st14"/>
        <w:rPr>
          <w:rStyle w:val="st42"/>
        </w:rPr>
      </w:pPr>
    </w:p>
    <w:p w:rsidR="008E2EB3" w:rsidRDefault="00B070C5">
      <w:pPr>
        <w:pStyle w:val="st14"/>
        <w:rPr>
          <w:rStyle w:val="st42"/>
        </w:rPr>
      </w:pPr>
      <w:r>
        <w:rPr>
          <w:rStyle w:val="st42"/>
        </w:rPr>
        <w:t xml:space="preserve">Староста                                                               </w:t>
      </w:r>
      <w:r w:rsidR="007C6FF8">
        <w:rPr>
          <w:rStyle w:val="st42"/>
        </w:rPr>
        <w:t>Микола ЖУВАК</w:t>
      </w:r>
    </w:p>
    <w:p w:rsidR="00B070C5" w:rsidRDefault="00B070C5">
      <w:pPr>
        <w:pStyle w:val="st14"/>
        <w:rPr>
          <w:rStyle w:val="st42"/>
        </w:rPr>
      </w:pPr>
    </w:p>
    <w:p w:rsidR="00B070C5" w:rsidRDefault="00B070C5">
      <w:pPr>
        <w:pStyle w:val="st14"/>
        <w:rPr>
          <w:rStyle w:val="st42"/>
        </w:rPr>
      </w:pPr>
    </w:p>
    <w:p w:rsidR="004D02AA" w:rsidRDefault="007C6FF8">
      <w:pPr>
        <w:pStyle w:val="st14"/>
        <w:rPr>
          <w:rStyle w:val="st42"/>
        </w:rPr>
      </w:pPr>
      <w:r>
        <w:rPr>
          <w:rStyle w:val="st42"/>
        </w:rPr>
        <w:t>“15</w:t>
      </w:r>
      <w:r w:rsidR="00D24A1D">
        <w:rPr>
          <w:rStyle w:val="st42"/>
        </w:rPr>
        <w:t xml:space="preserve">” </w:t>
      </w:r>
      <w:r w:rsidR="00D24A1D">
        <w:rPr>
          <w:rStyle w:val="st42"/>
          <w:u w:val="single"/>
        </w:rPr>
        <w:t xml:space="preserve">квітня </w:t>
      </w:r>
      <w:r w:rsidR="004D02AA">
        <w:rPr>
          <w:rStyle w:val="st42"/>
        </w:rPr>
        <w:t xml:space="preserve"> 20</w:t>
      </w:r>
      <w:r w:rsidR="00D24A1D">
        <w:rPr>
          <w:rStyle w:val="st42"/>
        </w:rPr>
        <w:t>25</w:t>
      </w:r>
      <w:bookmarkStart w:id="0" w:name="_GoBack"/>
      <w:bookmarkEnd w:id="0"/>
      <w:r w:rsidR="004D02AA">
        <w:rPr>
          <w:rStyle w:val="st42"/>
        </w:rPr>
        <w:t xml:space="preserve">  р.</w:t>
      </w:r>
    </w:p>
    <w:p w:rsidR="00B070C5" w:rsidRDefault="00B070C5">
      <w:pPr>
        <w:pStyle w:val="st14"/>
        <w:rPr>
          <w:rStyle w:val="st42"/>
        </w:rPr>
      </w:pPr>
    </w:p>
    <w:p w:rsidR="00B070C5" w:rsidRDefault="00B070C5">
      <w:pPr>
        <w:pStyle w:val="st14"/>
        <w:rPr>
          <w:rStyle w:val="st42"/>
        </w:rPr>
      </w:pPr>
    </w:p>
    <w:sectPr w:rsidR="00B070C5" w:rsidSect="00A71F2A">
      <w:pgSz w:w="12240" w:h="15840"/>
      <w:pgMar w:top="850" w:right="850" w:bottom="850" w:left="1417" w:header="708" w:footer="708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Calibri Light">
    <w:altName w:val="Segoe UI"/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hideSpellingErrors/>
  <w:hideGrammaticalErrors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</w:compat>
  <w:rsids>
    <w:rsidRoot w:val="00BE0ABD"/>
    <w:rsid w:val="001631AA"/>
    <w:rsid w:val="001F1CE6"/>
    <w:rsid w:val="002B410A"/>
    <w:rsid w:val="002C7E0C"/>
    <w:rsid w:val="00345E51"/>
    <w:rsid w:val="00461B36"/>
    <w:rsid w:val="004D02AA"/>
    <w:rsid w:val="0050579D"/>
    <w:rsid w:val="005944D6"/>
    <w:rsid w:val="006706DE"/>
    <w:rsid w:val="006802AB"/>
    <w:rsid w:val="006F2BC5"/>
    <w:rsid w:val="00735BF1"/>
    <w:rsid w:val="007C44A5"/>
    <w:rsid w:val="007C6FF8"/>
    <w:rsid w:val="00871B3B"/>
    <w:rsid w:val="00896482"/>
    <w:rsid w:val="008E2EB3"/>
    <w:rsid w:val="008F50E6"/>
    <w:rsid w:val="009723AA"/>
    <w:rsid w:val="00A26BE9"/>
    <w:rsid w:val="00A71F2A"/>
    <w:rsid w:val="00AB1DD6"/>
    <w:rsid w:val="00B070C5"/>
    <w:rsid w:val="00B92E8E"/>
    <w:rsid w:val="00BA710B"/>
    <w:rsid w:val="00BC44F7"/>
    <w:rsid w:val="00BE0ABD"/>
    <w:rsid w:val="00C60A2E"/>
    <w:rsid w:val="00C62E00"/>
    <w:rsid w:val="00D226C7"/>
    <w:rsid w:val="00D24A1D"/>
    <w:rsid w:val="00D6758B"/>
    <w:rsid w:val="00DD40AD"/>
    <w:rsid w:val="00EB7EF5"/>
    <w:rsid w:val="00ED7DAD"/>
    <w:rsid w:val="00F33980"/>
    <w:rsid w:val="00F361BC"/>
    <w:rsid w:val="00F420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1F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0">
    <w:name w:val="st0"/>
    <w:rsid w:val="00A71F2A"/>
    <w:pPr>
      <w:widowControl w:val="0"/>
      <w:autoSpaceDE w:val="0"/>
      <w:autoSpaceDN w:val="0"/>
      <w:adjustRightInd w:val="0"/>
      <w:spacing w:after="120" w:line="240" w:lineRule="auto"/>
      <w:ind w:left="360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t1">
    <w:name w:val="st1"/>
    <w:uiPriority w:val="99"/>
    <w:rsid w:val="00A71F2A"/>
    <w:pPr>
      <w:widowControl w:val="0"/>
      <w:autoSpaceDE w:val="0"/>
      <w:autoSpaceDN w:val="0"/>
      <w:adjustRightInd w:val="0"/>
      <w:spacing w:before="120" w:after="0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st2">
    <w:name w:val="st2"/>
    <w:uiPriority w:val="99"/>
    <w:rsid w:val="00A71F2A"/>
    <w:pPr>
      <w:widowControl w:val="0"/>
      <w:autoSpaceDE w:val="0"/>
      <w:autoSpaceDN w:val="0"/>
      <w:adjustRightInd w:val="0"/>
      <w:spacing w:after="120" w:line="240" w:lineRule="auto"/>
      <w:ind w:firstLine="360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t3">
    <w:name w:val="st3"/>
    <w:uiPriority w:val="99"/>
    <w:rsid w:val="00A71F2A"/>
    <w:pPr>
      <w:widowControl w:val="0"/>
      <w:autoSpaceDE w:val="0"/>
      <w:autoSpaceDN w:val="0"/>
      <w:adjustRightInd w:val="0"/>
      <w:spacing w:after="120" w:line="240" w:lineRule="auto"/>
      <w:ind w:left="360" w:right="360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st4">
    <w:name w:val="st4"/>
    <w:uiPriority w:val="99"/>
    <w:rsid w:val="00A71F2A"/>
    <w:pPr>
      <w:widowControl w:val="0"/>
      <w:autoSpaceDE w:val="0"/>
      <w:autoSpaceDN w:val="0"/>
      <w:adjustRightInd w:val="0"/>
      <w:spacing w:before="240" w:after="120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st5">
    <w:name w:val="st5"/>
    <w:uiPriority w:val="99"/>
    <w:rsid w:val="00A71F2A"/>
    <w:pPr>
      <w:widowControl w:val="0"/>
      <w:autoSpaceDE w:val="0"/>
      <w:autoSpaceDN w:val="0"/>
      <w:adjustRightInd w:val="0"/>
      <w:spacing w:after="0" w:line="240" w:lineRule="auto"/>
      <w:ind w:left="360" w:right="360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st6">
    <w:name w:val="st6"/>
    <w:uiPriority w:val="99"/>
    <w:rsid w:val="00A71F2A"/>
    <w:pPr>
      <w:widowControl w:val="0"/>
      <w:autoSpaceDE w:val="0"/>
      <w:autoSpaceDN w:val="0"/>
      <w:adjustRightInd w:val="0"/>
      <w:spacing w:before="240" w:after="360" w:line="240" w:lineRule="auto"/>
      <w:ind w:left="360" w:right="360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st7">
    <w:name w:val="st7"/>
    <w:uiPriority w:val="99"/>
    <w:rsid w:val="00A71F2A"/>
    <w:pPr>
      <w:widowControl w:val="0"/>
      <w:autoSpaceDE w:val="0"/>
      <w:autoSpaceDN w:val="0"/>
      <w:adjustRightInd w:val="0"/>
      <w:spacing w:before="120" w:after="120" w:line="240" w:lineRule="auto"/>
      <w:ind w:left="360" w:right="360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st8">
    <w:name w:val="st8"/>
    <w:uiPriority w:val="99"/>
    <w:rsid w:val="00A71F2A"/>
    <w:pPr>
      <w:widowControl w:val="0"/>
      <w:autoSpaceDE w:val="0"/>
      <w:autoSpaceDN w:val="0"/>
      <w:adjustRightInd w:val="0"/>
      <w:spacing w:after="120" w:line="240" w:lineRule="auto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t9">
    <w:name w:val="st9"/>
    <w:uiPriority w:val="99"/>
    <w:rsid w:val="00A71F2A"/>
    <w:pPr>
      <w:widowControl w:val="0"/>
      <w:autoSpaceDE w:val="0"/>
      <w:autoSpaceDN w:val="0"/>
      <w:adjustRightInd w:val="0"/>
      <w:spacing w:after="120" w:line="240" w:lineRule="auto"/>
      <w:ind w:left="72"/>
    </w:pPr>
    <w:rPr>
      <w:rFonts w:ascii="Times New Roman" w:hAnsi="Times New Roman" w:cs="Times New Roman"/>
      <w:sz w:val="24"/>
      <w:szCs w:val="24"/>
    </w:rPr>
  </w:style>
  <w:style w:type="paragraph" w:customStyle="1" w:styleId="st10">
    <w:name w:val="st10"/>
    <w:uiPriority w:val="99"/>
    <w:rsid w:val="00A71F2A"/>
    <w:pPr>
      <w:widowControl w:val="0"/>
      <w:autoSpaceDE w:val="0"/>
      <w:autoSpaceDN w:val="0"/>
      <w:adjustRightInd w:val="0"/>
      <w:spacing w:after="120" w:line="240" w:lineRule="auto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st11">
    <w:name w:val="st11"/>
    <w:uiPriority w:val="99"/>
    <w:rsid w:val="00A71F2A"/>
    <w:pPr>
      <w:widowControl w:val="0"/>
      <w:autoSpaceDE w:val="0"/>
      <w:autoSpaceDN w:val="0"/>
      <w:adjustRightInd w:val="0"/>
      <w:spacing w:before="120" w:after="120" w:line="240" w:lineRule="auto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st12">
    <w:name w:val="st12"/>
    <w:uiPriority w:val="99"/>
    <w:rsid w:val="00A71F2A"/>
    <w:pPr>
      <w:widowControl w:val="0"/>
      <w:autoSpaceDE w:val="0"/>
      <w:autoSpaceDN w:val="0"/>
      <w:adjustRightInd w:val="0"/>
      <w:spacing w:before="120" w:after="120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st13">
    <w:name w:val="st13"/>
    <w:uiPriority w:val="99"/>
    <w:rsid w:val="00A71F2A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t14">
    <w:name w:val="st14"/>
    <w:uiPriority w:val="99"/>
    <w:rsid w:val="00A71F2A"/>
    <w:pPr>
      <w:widowControl w:val="0"/>
      <w:autoSpaceDE w:val="0"/>
      <w:autoSpaceDN w:val="0"/>
      <w:adjustRightInd w:val="0"/>
      <w:spacing w:before="120" w:after="12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t15">
    <w:name w:val="st15"/>
    <w:uiPriority w:val="99"/>
    <w:rsid w:val="00A71F2A"/>
    <w:pPr>
      <w:widowControl w:val="0"/>
      <w:autoSpaceDE w:val="0"/>
      <w:autoSpaceDN w:val="0"/>
      <w:adjustRightInd w:val="0"/>
      <w:spacing w:before="240" w:after="0" w:line="240" w:lineRule="auto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st16">
    <w:name w:val="st16"/>
    <w:uiPriority w:val="99"/>
    <w:rsid w:val="00A71F2A"/>
    <w:pPr>
      <w:widowControl w:val="0"/>
      <w:autoSpaceDE w:val="0"/>
      <w:autoSpaceDN w:val="0"/>
      <w:adjustRightInd w:val="0"/>
      <w:spacing w:before="240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t17">
    <w:name w:val="st17"/>
    <w:uiPriority w:val="99"/>
    <w:rsid w:val="00A71F2A"/>
    <w:pPr>
      <w:widowControl w:val="0"/>
      <w:autoSpaceDE w:val="0"/>
      <w:autoSpaceDN w:val="0"/>
      <w:adjustRightInd w:val="0"/>
      <w:spacing w:before="240" w:after="0" w:line="360" w:lineRule="auto"/>
      <w:ind w:left="360" w:right="360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st18">
    <w:name w:val="st18"/>
    <w:uiPriority w:val="99"/>
    <w:rsid w:val="00A71F2A"/>
    <w:pPr>
      <w:widowControl w:val="0"/>
      <w:autoSpaceDE w:val="0"/>
      <w:autoSpaceDN w:val="0"/>
      <w:adjustRightInd w:val="0"/>
      <w:spacing w:before="120" w:after="240" w:line="240" w:lineRule="auto"/>
      <w:ind w:left="360" w:right="360"/>
    </w:pPr>
    <w:rPr>
      <w:rFonts w:ascii="Times New Roman" w:hAnsi="Times New Roman" w:cs="Times New Roman"/>
      <w:sz w:val="24"/>
      <w:szCs w:val="24"/>
    </w:rPr>
  </w:style>
  <w:style w:type="character" w:customStyle="1" w:styleId="st42">
    <w:name w:val="st42"/>
    <w:uiPriority w:val="99"/>
    <w:rsid w:val="00A71F2A"/>
    <w:rPr>
      <w:color w:val="000000"/>
    </w:rPr>
  </w:style>
  <w:style w:type="character" w:customStyle="1" w:styleId="st110">
    <w:name w:val="st110"/>
    <w:uiPriority w:val="99"/>
    <w:rsid w:val="00A71F2A"/>
    <w:rPr>
      <w:rFonts w:ascii="Courier New" w:hAnsi="Courier New" w:cs="Courier New"/>
      <w:color w:val="0000FF"/>
    </w:rPr>
  </w:style>
  <w:style w:type="character" w:customStyle="1" w:styleId="st310">
    <w:name w:val="st310"/>
    <w:uiPriority w:val="99"/>
    <w:rsid w:val="00A71F2A"/>
    <w:rPr>
      <w:rFonts w:ascii="Courier New" w:hAnsi="Courier New" w:cs="Courier New"/>
      <w:b/>
      <w:bCs/>
      <w:color w:val="0000FF"/>
    </w:rPr>
  </w:style>
  <w:style w:type="character" w:customStyle="1" w:styleId="st410">
    <w:name w:val="st410"/>
    <w:uiPriority w:val="99"/>
    <w:rsid w:val="00A71F2A"/>
    <w:rPr>
      <w:rFonts w:ascii="Courier New" w:hAnsi="Courier New" w:cs="Courier New"/>
      <w:i/>
      <w:iCs/>
      <w:color w:val="000000"/>
    </w:rPr>
  </w:style>
  <w:style w:type="character" w:customStyle="1" w:styleId="st510">
    <w:name w:val="st510"/>
    <w:uiPriority w:val="99"/>
    <w:rsid w:val="00A71F2A"/>
    <w:rPr>
      <w:rFonts w:ascii="Courier New" w:hAnsi="Courier New" w:cs="Courier New"/>
      <w:i/>
      <w:iCs/>
      <w:color w:val="0000FF"/>
    </w:rPr>
  </w:style>
  <w:style w:type="character" w:customStyle="1" w:styleId="st610">
    <w:name w:val="st610"/>
    <w:uiPriority w:val="99"/>
    <w:rsid w:val="00A71F2A"/>
    <w:rPr>
      <w:rFonts w:ascii="Courier New" w:hAnsi="Courier New" w:cs="Courier New"/>
      <w:b/>
      <w:bCs/>
      <w:i/>
      <w:iCs/>
      <w:color w:val="000000"/>
    </w:rPr>
  </w:style>
  <w:style w:type="character" w:customStyle="1" w:styleId="st710">
    <w:name w:val="st710"/>
    <w:uiPriority w:val="99"/>
    <w:rsid w:val="00A71F2A"/>
    <w:rPr>
      <w:rFonts w:ascii="Courier New" w:hAnsi="Courier New" w:cs="Courier New"/>
      <w:b/>
      <w:bCs/>
      <w:i/>
      <w:iCs/>
      <w:color w:val="0000FF"/>
    </w:rPr>
  </w:style>
  <w:style w:type="character" w:customStyle="1" w:styleId="st810">
    <w:name w:val="st810"/>
    <w:uiPriority w:val="99"/>
    <w:rsid w:val="00A71F2A"/>
    <w:rPr>
      <w:color w:val="000000"/>
    </w:rPr>
  </w:style>
  <w:style w:type="character" w:customStyle="1" w:styleId="st910">
    <w:name w:val="st910"/>
    <w:uiPriority w:val="99"/>
    <w:rsid w:val="00A71F2A"/>
    <w:rPr>
      <w:color w:val="0000FF"/>
    </w:rPr>
  </w:style>
  <w:style w:type="character" w:customStyle="1" w:styleId="st102">
    <w:name w:val="st102"/>
    <w:uiPriority w:val="99"/>
    <w:rsid w:val="00A71F2A"/>
    <w:rPr>
      <w:b/>
      <w:bCs/>
      <w:color w:val="000000"/>
    </w:rPr>
  </w:style>
  <w:style w:type="character" w:customStyle="1" w:styleId="st111">
    <w:name w:val="st111"/>
    <w:uiPriority w:val="99"/>
    <w:rsid w:val="00A71F2A"/>
    <w:rPr>
      <w:b/>
      <w:bCs/>
      <w:color w:val="0000FF"/>
    </w:rPr>
  </w:style>
  <w:style w:type="character" w:customStyle="1" w:styleId="st121">
    <w:name w:val="st121"/>
    <w:uiPriority w:val="99"/>
    <w:rsid w:val="00A71F2A"/>
    <w:rPr>
      <w:i/>
      <w:iCs/>
      <w:color w:val="000000"/>
    </w:rPr>
  </w:style>
  <w:style w:type="character" w:customStyle="1" w:styleId="st131">
    <w:name w:val="st131"/>
    <w:uiPriority w:val="99"/>
    <w:rsid w:val="00A71F2A"/>
    <w:rPr>
      <w:i/>
      <w:iCs/>
      <w:color w:val="0000FF"/>
    </w:rPr>
  </w:style>
  <w:style w:type="character" w:customStyle="1" w:styleId="st141">
    <w:name w:val="st141"/>
    <w:uiPriority w:val="99"/>
    <w:rsid w:val="00A71F2A"/>
    <w:rPr>
      <w:color w:val="000000"/>
      <w:sz w:val="28"/>
      <w:szCs w:val="28"/>
    </w:rPr>
  </w:style>
  <w:style w:type="character" w:customStyle="1" w:styleId="st151">
    <w:name w:val="st151"/>
    <w:uiPriority w:val="99"/>
    <w:rsid w:val="00A71F2A"/>
    <w:rPr>
      <w:color w:val="0000FF"/>
      <w:sz w:val="28"/>
      <w:szCs w:val="28"/>
    </w:rPr>
  </w:style>
  <w:style w:type="character" w:customStyle="1" w:styleId="st161">
    <w:name w:val="st161"/>
    <w:uiPriority w:val="99"/>
    <w:rsid w:val="00A71F2A"/>
    <w:rPr>
      <w:b/>
      <w:bCs/>
      <w:color w:val="000000"/>
      <w:sz w:val="28"/>
      <w:szCs w:val="28"/>
    </w:rPr>
  </w:style>
  <w:style w:type="character" w:customStyle="1" w:styleId="st171">
    <w:name w:val="st171"/>
    <w:uiPriority w:val="99"/>
    <w:rsid w:val="00A71F2A"/>
    <w:rPr>
      <w:b/>
      <w:bCs/>
      <w:color w:val="0000FF"/>
      <w:sz w:val="28"/>
      <w:szCs w:val="28"/>
    </w:rPr>
  </w:style>
  <w:style w:type="character" w:customStyle="1" w:styleId="st181">
    <w:name w:val="st181"/>
    <w:uiPriority w:val="99"/>
    <w:rsid w:val="00A71F2A"/>
    <w:rPr>
      <w:i/>
      <w:iCs/>
      <w:color w:val="000000"/>
      <w:sz w:val="28"/>
      <w:szCs w:val="28"/>
    </w:rPr>
  </w:style>
  <w:style w:type="character" w:customStyle="1" w:styleId="st19">
    <w:name w:val="st19"/>
    <w:uiPriority w:val="99"/>
    <w:rsid w:val="00A71F2A"/>
    <w:rPr>
      <w:i/>
      <w:iCs/>
      <w:color w:val="0000FF"/>
      <w:sz w:val="28"/>
      <w:szCs w:val="28"/>
    </w:rPr>
  </w:style>
  <w:style w:type="character" w:customStyle="1" w:styleId="st20">
    <w:name w:val="st20"/>
    <w:uiPriority w:val="99"/>
    <w:rsid w:val="00A71F2A"/>
    <w:rPr>
      <w:b/>
      <w:bCs/>
      <w:i/>
      <w:iCs/>
      <w:color w:val="000000"/>
      <w:sz w:val="28"/>
      <w:szCs w:val="28"/>
    </w:rPr>
  </w:style>
  <w:style w:type="character" w:customStyle="1" w:styleId="st21">
    <w:name w:val="st21"/>
    <w:uiPriority w:val="99"/>
    <w:rsid w:val="00A71F2A"/>
    <w:rPr>
      <w:b/>
      <w:bCs/>
      <w:i/>
      <w:iCs/>
      <w:color w:val="0000FF"/>
      <w:sz w:val="28"/>
      <w:szCs w:val="28"/>
    </w:rPr>
  </w:style>
  <w:style w:type="character" w:customStyle="1" w:styleId="st22">
    <w:name w:val="st22"/>
    <w:uiPriority w:val="99"/>
    <w:rsid w:val="00A71F2A"/>
    <w:rPr>
      <w:color w:val="000000"/>
      <w:sz w:val="32"/>
      <w:szCs w:val="32"/>
    </w:rPr>
  </w:style>
  <w:style w:type="character" w:customStyle="1" w:styleId="st23">
    <w:name w:val="st23"/>
    <w:uiPriority w:val="99"/>
    <w:rsid w:val="00A71F2A"/>
    <w:rPr>
      <w:color w:val="0000FF"/>
      <w:sz w:val="32"/>
      <w:szCs w:val="32"/>
    </w:rPr>
  </w:style>
  <w:style w:type="character" w:customStyle="1" w:styleId="st24">
    <w:name w:val="st24"/>
    <w:uiPriority w:val="99"/>
    <w:rsid w:val="00A71F2A"/>
    <w:rPr>
      <w:b/>
      <w:bCs/>
      <w:color w:val="000000"/>
      <w:sz w:val="32"/>
      <w:szCs w:val="32"/>
    </w:rPr>
  </w:style>
  <w:style w:type="character" w:customStyle="1" w:styleId="st25">
    <w:name w:val="st25"/>
    <w:uiPriority w:val="99"/>
    <w:rsid w:val="00A71F2A"/>
    <w:rPr>
      <w:b/>
      <w:bCs/>
      <w:color w:val="0000FF"/>
      <w:sz w:val="32"/>
      <w:szCs w:val="32"/>
    </w:rPr>
  </w:style>
  <w:style w:type="character" w:customStyle="1" w:styleId="st26">
    <w:name w:val="st26"/>
    <w:uiPriority w:val="99"/>
    <w:rsid w:val="00A71F2A"/>
    <w:rPr>
      <w:i/>
      <w:iCs/>
      <w:color w:val="000000"/>
      <w:sz w:val="32"/>
      <w:szCs w:val="32"/>
    </w:rPr>
  </w:style>
  <w:style w:type="character" w:customStyle="1" w:styleId="st27">
    <w:name w:val="st27"/>
    <w:uiPriority w:val="99"/>
    <w:rsid w:val="00A71F2A"/>
    <w:rPr>
      <w:i/>
      <w:iCs/>
      <w:color w:val="0000FF"/>
      <w:sz w:val="32"/>
      <w:szCs w:val="32"/>
    </w:rPr>
  </w:style>
  <w:style w:type="character" w:customStyle="1" w:styleId="st28">
    <w:name w:val="st28"/>
    <w:uiPriority w:val="99"/>
    <w:rsid w:val="00A71F2A"/>
    <w:rPr>
      <w:b/>
      <w:bCs/>
      <w:i/>
      <w:iCs/>
      <w:color w:val="000000"/>
      <w:sz w:val="32"/>
      <w:szCs w:val="32"/>
    </w:rPr>
  </w:style>
  <w:style w:type="character" w:customStyle="1" w:styleId="st29">
    <w:name w:val="st29"/>
    <w:uiPriority w:val="99"/>
    <w:rsid w:val="00A71F2A"/>
    <w:rPr>
      <w:b/>
      <w:bCs/>
      <w:i/>
      <w:iCs/>
      <w:color w:val="0000FF"/>
      <w:sz w:val="32"/>
      <w:szCs w:val="32"/>
    </w:rPr>
  </w:style>
  <w:style w:type="character" w:customStyle="1" w:styleId="st32">
    <w:name w:val="st32"/>
    <w:uiPriority w:val="99"/>
    <w:rsid w:val="00A71F2A"/>
    <w:rPr>
      <w:rFonts w:ascii="Courier New" w:hAnsi="Courier New" w:cs="Courier New"/>
      <w:b/>
      <w:bCs/>
      <w:color w:val="000000"/>
      <w:spacing w:val="24"/>
    </w:rPr>
  </w:style>
  <w:style w:type="character" w:customStyle="1" w:styleId="st33">
    <w:name w:val="st33"/>
    <w:uiPriority w:val="99"/>
    <w:rsid w:val="00A71F2A"/>
    <w:rPr>
      <w:rFonts w:ascii="Courier New" w:hAnsi="Courier New" w:cs="Courier New"/>
      <w:b/>
      <w:bCs/>
      <w:color w:val="0000FF"/>
      <w:spacing w:val="24"/>
    </w:rPr>
  </w:style>
  <w:style w:type="character" w:customStyle="1" w:styleId="st34">
    <w:name w:val="st34"/>
    <w:uiPriority w:val="99"/>
    <w:rsid w:val="00A71F2A"/>
    <w:rPr>
      <w:rFonts w:ascii="Courier New" w:hAnsi="Courier New" w:cs="Courier New"/>
      <w:color w:val="000000"/>
      <w:spacing w:val="24"/>
    </w:rPr>
  </w:style>
  <w:style w:type="character" w:customStyle="1" w:styleId="st35">
    <w:name w:val="st35"/>
    <w:uiPriority w:val="99"/>
    <w:rsid w:val="00A71F2A"/>
    <w:rPr>
      <w:rFonts w:ascii="Courier New" w:hAnsi="Courier New" w:cs="Courier New"/>
      <w:color w:val="0000FF"/>
      <w:spacing w:val="24"/>
    </w:rPr>
  </w:style>
  <w:style w:type="character" w:customStyle="1" w:styleId="st36">
    <w:name w:val="st36"/>
    <w:uiPriority w:val="99"/>
    <w:rsid w:val="00A71F2A"/>
    <w:rPr>
      <w:rFonts w:ascii="Courier New" w:hAnsi="Courier New" w:cs="Courier New"/>
      <w:i/>
      <w:iCs/>
      <w:color w:val="000000"/>
      <w:spacing w:val="24"/>
    </w:rPr>
  </w:style>
  <w:style w:type="character" w:customStyle="1" w:styleId="st37">
    <w:name w:val="st37"/>
    <w:uiPriority w:val="99"/>
    <w:rsid w:val="00A71F2A"/>
    <w:rPr>
      <w:rFonts w:ascii="Courier New" w:hAnsi="Courier New" w:cs="Courier New"/>
      <w:i/>
      <w:iCs/>
      <w:color w:val="0000FF"/>
      <w:spacing w:val="24"/>
    </w:rPr>
  </w:style>
  <w:style w:type="character" w:customStyle="1" w:styleId="st38">
    <w:name w:val="st38"/>
    <w:uiPriority w:val="99"/>
    <w:rsid w:val="00A71F2A"/>
    <w:rPr>
      <w:rFonts w:ascii="Courier New" w:hAnsi="Courier New" w:cs="Courier New"/>
      <w:b/>
      <w:bCs/>
      <w:i/>
      <w:iCs/>
      <w:color w:val="000000"/>
      <w:spacing w:val="24"/>
    </w:rPr>
  </w:style>
  <w:style w:type="character" w:customStyle="1" w:styleId="st39">
    <w:name w:val="st39"/>
    <w:uiPriority w:val="99"/>
    <w:rsid w:val="00A71F2A"/>
    <w:rPr>
      <w:rFonts w:ascii="Courier New" w:hAnsi="Courier New" w:cs="Courier New"/>
      <w:b/>
      <w:bCs/>
      <w:i/>
      <w:iCs/>
      <w:color w:val="0000FF"/>
      <w:spacing w:val="24"/>
    </w:rPr>
  </w:style>
  <w:style w:type="character" w:customStyle="1" w:styleId="st30">
    <w:name w:val="st30"/>
    <w:uiPriority w:val="99"/>
    <w:rsid w:val="00A71F2A"/>
    <w:rPr>
      <w:b/>
      <w:bCs/>
      <w:color w:val="000000"/>
      <w:sz w:val="32"/>
      <w:szCs w:val="32"/>
      <w:vertAlign w:val="superscript"/>
    </w:rPr>
  </w:style>
  <w:style w:type="character" w:customStyle="1" w:styleId="st31">
    <w:name w:val="st31"/>
    <w:uiPriority w:val="99"/>
    <w:rsid w:val="00A71F2A"/>
    <w:rPr>
      <w:b/>
      <w:bCs/>
      <w:color w:val="0000FF"/>
      <w:sz w:val="32"/>
      <w:szCs w:val="32"/>
      <w:vertAlign w:val="superscript"/>
    </w:rPr>
  </w:style>
  <w:style w:type="character" w:customStyle="1" w:styleId="st210">
    <w:name w:val="st210"/>
    <w:uiPriority w:val="99"/>
    <w:rsid w:val="00A71F2A"/>
    <w:rPr>
      <w:rFonts w:ascii="Courier New" w:hAnsi="Courier New" w:cs="Courier New"/>
      <w:b/>
      <w:bCs/>
      <w:color w:val="000000"/>
    </w:rPr>
  </w:style>
  <w:style w:type="character" w:customStyle="1" w:styleId="st40">
    <w:name w:val="st40"/>
    <w:uiPriority w:val="99"/>
    <w:rsid w:val="00A71F2A"/>
    <w:rPr>
      <w:b/>
      <w:bCs/>
      <w:color w:val="000000"/>
      <w:sz w:val="32"/>
      <w:szCs w:val="32"/>
      <w:vertAlign w:val="subscript"/>
    </w:rPr>
  </w:style>
  <w:style w:type="character" w:customStyle="1" w:styleId="st41">
    <w:name w:val="st41"/>
    <w:uiPriority w:val="99"/>
    <w:rsid w:val="00A71F2A"/>
    <w:rPr>
      <w:b/>
      <w:bCs/>
      <w:color w:val="0000FF"/>
      <w:sz w:val="32"/>
      <w:szCs w:val="32"/>
      <w:vertAlign w:val="subscript"/>
    </w:rPr>
  </w:style>
  <w:style w:type="character" w:customStyle="1" w:styleId="st01">
    <w:name w:val="st01"/>
    <w:uiPriority w:val="99"/>
    <w:rsid w:val="00A71F2A"/>
    <w:rPr>
      <w:rFonts w:ascii="Courier New" w:hAnsi="Courier New" w:cs="Courier New"/>
      <w:color w:val="000000"/>
    </w:rPr>
  </w:style>
  <w:style w:type="character" w:customStyle="1" w:styleId="st43">
    <w:name w:val="st43"/>
    <w:uiPriority w:val="99"/>
    <w:rsid w:val="00A71F2A"/>
    <w:rPr>
      <w:color w:val="0000FF"/>
    </w:rPr>
  </w:style>
  <w:style w:type="character" w:customStyle="1" w:styleId="st44">
    <w:name w:val="st44"/>
    <w:uiPriority w:val="99"/>
    <w:rsid w:val="00A71F2A"/>
    <w:rPr>
      <w:b/>
      <w:bCs/>
      <w:color w:val="000000"/>
    </w:rPr>
  </w:style>
  <w:style w:type="character" w:customStyle="1" w:styleId="st45">
    <w:name w:val="st45"/>
    <w:uiPriority w:val="99"/>
    <w:rsid w:val="00A71F2A"/>
    <w:rPr>
      <w:b/>
      <w:bCs/>
      <w:color w:val="0000FF"/>
    </w:rPr>
  </w:style>
  <w:style w:type="character" w:customStyle="1" w:styleId="st46">
    <w:name w:val="st46"/>
    <w:uiPriority w:val="99"/>
    <w:rsid w:val="00A71F2A"/>
    <w:rPr>
      <w:i/>
      <w:iCs/>
      <w:color w:val="000000"/>
    </w:rPr>
  </w:style>
  <w:style w:type="character" w:customStyle="1" w:styleId="st47">
    <w:name w:val="st47"/>
    <w:uiPriority w:val="99"/>
    <w:rsid w:val="00A71F2A"/>
    <w:rPr>
      <w:i/>
      <w:iCs/>
      <w:color w:val="0000FF"/>
    </w:rPr>
  </w:style>
  <w:style w:type="character" w:customStyle="1" w:styleId="st48">
    <w:name w:val="st48"/>
    <w:uiPriority w:val="99"/>
    <w:rsid w:val="00A71F2A"/>
    <w:rPr>
      <w:b/>
      <w:bCs/>
      <w:i/>
      <w:iCs/>
      <w:color w:val="000000"/>
    </w:rPr>
  </w:style>
  <w:style w:type="character" w:customStyle="1" w:styleId="st49">
    <w:name w:val="st49"/>
    <w:uiPriority w:val="99"/>
    <w:rsid w:val="00A71F2A"/>
    <w:rPr>
      <w:b/>
      <w:bCs/>
      <w:i/>
      <w:iCs/>
      <w:color w:val="0000FF"/>
    </w:rPr>
  </w:style>
  <w:style w:type="character" w:customStyle="1" w:styleId="st50">
    <w:name w:val="st50"/>
    <w:uiPriority w:val="99"/>
    <w:rsid w:val="00A71F2A"/>
    <w:rPr>
      <w:color w:val="000000"/>
      <w:spacing w:val="24"/>
    </w:rPr>
  </w:style>
  <w:style w:type="character" w:customStyle="1" w:styleId="st51">
    <w:name w:val="st51"/>
    <w:uiPriority w:val="99"/>
    <w:rsid w:val="00A71F2A"/>
    <w:rPr>
      <w:color w:val="0000FF"/>
      <w:spacing w:val="24"/>
    </w:rPr>
  </w:style>
  <w:style w:type="character" w:customStyle="1" w:styleId="st52">
    <w:name w:val="st52"/>
    <w:uiPriority w:val="99"/>
    <w:rsid w:val="00A71F2A"/>
    <w:rPr>
      <w:b/>
      <w:bCs/>
      <w:color w:val="000000"/>
      <w:spacing w:val="24"/>
    </w:rPr>
  </w:style>
  <w:style w:type="character" w:customStyle="1" w:styleId="st53">
    <w:name w:val="st53"/>
    <w:uiPriority w:val="99"/>
    <w:rsid w:val="00A71F2A"/>
    <w:rPr>
      <w:b/>
      <w:bCs/>
      <w:color w:val="0000FF"/>
      <w:spacing w:val="24"/>
    </w:rPr>
  </w:style>
  <w:style w:type="character" w:customStyle="1" w:styleId="st54">
    <w:name w:val="st54"/>
    <w:uiPriority w:val="99"/>
    <w:rsid w:val="00A71F2A"/>
    <w:rPr>
      <w:i/>
      <w:iCs/>
      <w:color w:val="000000"/>
      <w:spacing w:val="24"/>
    </w:rPr>
  </w:style>
  <w:style w:type="character" w:customStyle="1" w:styleId="st55">
    <w:name w:val="st55"/>
    <w:uiPriority w:val="99"/>
    <w:rsid w:val="00A71F2A"/>
    <w:rPr>
      <w:i/>
      <w:iCs/>
      <w:color w:val="0000FF"/>
      <w:spacing w:val="24"/>
    </w:rPr>
  </w:style>
  <w:style w:type="character" w:customStyle="1" w:styleId="st56">
    <w:name w:val="st56"/>
    <w:uiPriority w:val="99"/>
    <w:rsid w:val="00A71F2A"/>
    <w:rPr>
      <w:b/>
      <w:bCs/>
      <w:i/>
      <w:iCs/>
      <w:color w:val="000000"/>
      <w:spacing w:val="24"/>
    </w:rPr>
  </w:style>
  <w:style w:type="character" w:customStyle="1" w:styleId="st57">
    <w:name w:val="st57"/>
    <w:uiPriority w:val="99"/>
    <w:rsid w:val="00A71F2A"/>
    <w:rPr>
      <w:b/>
      <w:bCs/>
      <w:i/>
      <w:iCs/>
      <w:color w:val="0000FF"/>
      <w:spacing w:val="24"/>
    </w:rPr>
  </w:style>
  <w:style w:type="character" w:customStyle="1" w:styleId="st58">
    <w:name w:val="st58"/>
    <w:uiPriority w:val="99"/>
    <w:rsid w:val="00A71F2A"/>
    <w:rPr>
      <w:color w:val="000000"/>
      <w:sz w:val="16"/>
      <w:szCs w:val="16"/>
    </w:rPr>
  </w:style>
  <w:style w:type="character" w:customStyle="1" w:styleId="st59">
    <w:name w:val="st59"/>
    <w:uiPriority w:val="99"/>
    <w:rsid w:val="00A71F2A"/>
    <w:rPr>
      <w:color w:val="0000FF"/>
      <w:sz w:val="16"/>
      <w:szCs w:val="16"/>
    </w:rPr>
  </w:style>
  <w:style w:type="character" w:customStyle="1" w:styleId="st60">
    <w:name w:val="st60"/>
    <w:uiPriority w:val="99"/>
    <w:rsid w:val="00A71F2A"/>
    <w:rPr>
      <w:rFonts w:ascii="Courier New" w:hAnsi="Courier New" w:cs="Courier New"/>
      <w:color w:val="000000"/>
      <w:sz w:val="16"/>
      <w:szCs w:val="16"/>
    </w:rPr>
  </w:style>
  <w:style w:type="character" w:customStyle="1" w:styleId="st61">
    <w:name w:val="st61"/>
    <w:uiPriority w:val="99"/>
    <w:rsid w:val="00A71F2A"/>
    <w:rPr>
      <w:rFonts w:ascii="Courier New" w:hAnsi="Courier New" w:cs="Courier New"/>
      <w:color w:val="0000FF"/>
      <w:sz w:val="16"/>
      <w:szCs w:val="16"/>
    </w:rPr>
  </w:style>
  <w:style w:type="character" w:customStyle="1" w:styleId="st62">
    <w:name w:val="st62"/>
    <w:uiPriority w:val="99"/>
    <w:rsid w:val="00A71F2A"/>
    <w:rPr>
      <w:b/>
      <w:bCs/>
      <w:color w:val="000000"/>
      <w:spacing w:val="48"/>
      <w:sz w:val="32"/>
      <w:szCs w:val="32"/>
    </w:rPr>
  </w:style>
  <w:style w:type="character" w:customStyle="1" w:styleId="st63">
    <w:name w:val="st63"/>
    <w:uiPriority w:val="99"/>
    <w:rsid w:val="00A71F2A"/>
    <w:rPr>
      <w:b/>
      <w:bCs/>
      <w:color w:val="0000FF"/>
      <w:spacing w:val="48"/>
      <w:sz w:val="32"/>
      <w:szCs w:val="32"/>
    </w:rPr>
  </w:style>
  <w:style w:type="character" w:customStyle="1" w:styleId="st64">
    <w:name w:val="st64"/>
    <w:uiPriority w:val="99"/>
    <w:rsid w:val="00A71F2A"/>
    <w:rPr>
      <w:b/>
      <w:bCs/>
      <w:color w:val="000000"/>
      <w:sz w:val="36"/>
      <w:szCs w:val="36"/>
    </w:rPr>
  </w:style>
  <w:style w:type="character" w:customStyle="1" w:styleId="st65">
    <w:name w:val="st65"/>
    <w:uiPriority w:val="99"/>
    <w:rsid w:val="00A71F2A"/>
    <w:rPr>
      <w:b/>
      <w:bCs/>
      <w:color w:val="0000FF"/>
      <w:sz w:val="36"/>
      <w:szCs w:val="36"/>
    </w:rPr>
  </w:style>
  <w:style w:type="character" w:customStyle="1" w:styleId="st66">
    <w:name w:val="st66"/>
    <w:uiPriority w:val="99"/>
    <w:rsid w:val="00A71F2A"/>
    <w:rPr>
      <w:b/>
      <w:bCs/>
      <w:i/>
      <w:iCs/>
      <w:color w:val="000000"/>
      <w:sz w:val="36"/>
      <w:szCs w:val="36"/>
    </w:rPr>
  </w:style>
  <w:style w:type="character" w:customStyle="1" w:styleId="st67">
    <w:name w:val="st67"/>
    <w:uiPriority w:val="99"/>
    <w:rsid w:val="00A71F2A"/>
    <w:rPr>
      <w:b/>
      <w:bCs/>
      <w:i/>
      <w:iCs/>
      <w:color w:val="0000FF"/>
      <w:sz w:val="36"/>
      <w:szCs w:val="36"/>
    </w:rPr>
  </w:style>
  <w:style w:type="character" w:customStyle="1" w:styleId="st68">
    <w:name w:val="st68"/>
    <w:uiPriority w:val="99"/>
    <w:rsid w:val="00A71F2A"/>
    <w:rPr>
      <w:b/>
      <w:bCs/>
      <w:color w:val="000000"/>
      <w:spacing w:val="48"/>
      <w:sz w:val="36"/>
      <w:szCs w:val="36"/>
    </w:rPr>
  </w:style>
  <w:style w:type="character" w:customStyle="1" w:styleId="st69">
    <w:name w:val="st69"/>
    <w:uiPriority w:val="99"/>
    <w:rsid w:val="00A71F2A"/>
    <w:rPr>
      <w:b/>
      <w:bCs/>
      <w:color w:val="0000FF"/>
      <w:spacing w:val="48"/>
      <w:sz w:val="36"/>
      <w:szCs w:val="36"/>
    </w:rPr>
  </w:style>
  <w:style w:type="character" w:customStyle="1" w:styleId="st70">
    <w:name w:val="st70"/>
    <w:uiPriority w:val="99"/>
    <w:rsid w:val="00A71F2A"/>
    <w:rPr>
      <w:b/>
      <w:bCs/>
      <w:i/>
      <w:iCs/>
      <w:color w:val="000000"/>
      <w:spacing w:val="48"/>
      <w:sz w:val="36"/>
      <w:szCs w:val="36"/>
    </w:rPr>
  </w:style>
  <w:style w:type="character" w:customStyle="1" w:styleId="st71">
    <w:name w:val="st71"/>
    <w:uiPriority w:val="99"/>
    <w:rsid w:val="00A71F2A"/>
    <w:rPr>
      <w:b/>
      <w:bCs/>
      <w:i/>
      <w:iCs/>
      <w:color w:val="0000FF"/>
      <w:spacing w:val="48"/>
      <w:sz w:val="36"/>
      <w:szCs w:val="36"/>
    </w:rPr>
  </w:style>
  <w:style w:type="character" w:customStyle="1" w:styleId="st72">
    <w:name w:val="st72"/>
    <w:uiPriority w:val="99"/>
    <w:rsid w:val="00A71F2A"/>
    <w:rPr>
      <w:b/>
      <w:bCs/>
      <w:color w:val="000000"/>
      <w:sz w:val="40"/>
      <w:szCs w:val="40"/>
    </w:rPr>
  </w:style>
  <w:style w:type="character" w:customStyle="1" w:styleId="st73">
    <w:name w:val="st73"/>
    <w:uiPriority w:val="99"/>
    <w:rsid w:val="00A71F2A"/>
    <w:rPr>
      <w:b/>
      <w:bCs/>
      <w:color w:val="0000FF"/>
      <w:sz w:val="40"/>
      <w:szCs w:val="40"/>
    </w:rPr>
  </w:style>
  <w:style w:type="character" w:customStyle="1" w:styleId="st74">
    <w:name w:val="st74"/>
    <w:uiPriority w:val="99"/>
    <w:rsid w:val="00A71F2A"/>
    <w:rPr>
      <w:b/>
      <w:bCs/>
      <w:i/>
      <w:iCs/>
      <w:color w:val="000000"/>
      <w:sz w:val="40"/>
      <w:szCs w:val="40"/>
    </w:rPr>
  </w:style>
  <w:style w:type="character" w:customStyle="1" w:styleId="st75">
    <w:name w:val="st75"/>
    <w:uiPriority w:val="99"/>
    <w:rsid w:val="00A71F2A"/>
    <w:rPr>
      <w:b/>
      <w:bCs/>
      <w:i/>
      <w:iCs/>
      <w:color w:val="0000FF"/>
      <w:sz w:val="40"/>
      <w:szCs w:val="40"/>
    </w:rPr>
  </w:style>
  <w:style w:type="character" w:customStyle="1" w:styleId="st76">
    <w:name w:val="st76"/>
    <w:uiPriority w:val="99"/>
    <w:rsid w:val="00A71F2A"/>
    <w:rPr>
      <w:b/>
      <w:bCs/>
      <w:color w:val="000000"/>
      <w:spacing w:val="48"/>
      <w:sz w:val="40"/>
      <w:szCs w:val="40"/>
    </w:rPr>
  </w:style>
  <w:style w:type="character" w:customStyle="1" w:styleId="st77">
    <w:name w:val="st77"/>
    <w:uiPriority w:val="99"/>
    <w:rsid w:val="00A71F2A"/>
    <w:rPr>
      <w:b/>
      <w:bCs/>
      <w:color w:val="0000FF"/>
      <w:spacing w:val="48"/>
      <w:sz w:val="40"/>
      <w:szCs w:val="40"/>
    </w:rPr>
  </w:style>
  <w:style w:type="character" w:customStyle="1" w:styleId="st78">
    <w:name w:val="st78"/>
    <w:uiPriority w:val="99"/>
    <w:rsid w:val="00A71F2A"/>
    <w:rPr>
      <w:b/>
      <w:bCs/>
      <w:i/>
      <w:iCs/>
      <w:color w:val="000000"/>
      <w:spacing w:val="48"/>
      <w:sz w:val="40"/>
      <w:szCs w:val="40"/>
    </w:rPr>
  </w:style>
  <w:style w:type="character" w:customStyle="1" w:styleId="st79">
    <w:name w:val="st79"/>
    <w:uiPriority w:val="99"/>
    <w:rsid w:val="00A71F2A"/>
    <w:rPr>
      <w:b/>
      <w:bCs/>
      <w:i/>
      <w:iCs/>
      <w:color w:val="0000FF"/>
      <w:spacing w:val="48"/>
      <w:sz w:val="40"/>
      <w:szCs w:val="40"/>
    </w:rPr>
  </w:style>
  <w:style w:type="character" w:customStyle="1" w:styleId="st80">
    <w:name w:val="st80"/>
    <w:uiPriority w:val="99"/>
    <w:rsid w:val="00A71F2A"/>
    <w:rPr>
      <w:rFonts w:ascii="Symbol" w:hAnsi="Symbol" w:cs="Symbol"/>
      <w:b/>
      <w:bCs/>
      <w:color w:val="000000"/>
    </w:rPr>
  </w:style>
  <w:style w:type="character" w:customStyle="1" w:styleId="st81">
    <w:name w:val="st81"/>
    <w:uiPriority w:val="99"/>
    <w:rsid w:val="00A71F2A"/>
    <w:rPr>
      <w:rFonts w:ascii="Symbol" w:hAnsi="Symbol" w:cs="Symbol"/>
      <w:b/>
      <w:bCs/>
      <w:color w:val="0000FF"/>
    </w:rPr>
  </w:style>
  <w:style w:type="character" w:customStyle="1" w:styleId="st82">
    <w:name w:val="st82"/>
    <w:uiPriority w:val="99"/>
    <w:rsid w:val="00A71F2A"/>
    <w:rPr>
      <w:color w:val="000000"/>
      <w:sz w:val="20"/>
      <w:szCs w:val="20"/>
    </w:rPr>
  </w:style>
  <w:style w:type="character" w:customStyle="1" w:styleId="st83">
    <w:name w:val="st83"/>
    <w:uiPriority w:val="99"/>
    <w:rsid w:val="00A71F2A"/>
    <w:rPr>
      <w:color w:val="0000FF"/>
      <w:sz w:val="20"/>
      <w:szCs w:val="20"/>
    </w:rPr>
  </w:style>
  <w:style w:type="character" w:customStyle="1" w:styleId="st84">
    <w:name w:val="st84"/>
    <w:uiPriority w:val="99"/>
    <w:rsid w:val="00A71F2A"/>
    <w:rPr>
      <w:b/>
      <w:bCs/>
      <w:color w:val="000000"/>
      <w:sz w:val="16"/>
      <w:szCs w:val="16"/>
    </w:rPr>
  </w:style>
  <w:style w:type="character" w:customStyle="1" w:styleId="st85">
    <w:name w:val="st85"/>
    <w:uiPriority w:val="99"/>
    <w:rsid w:val="00A71F2A"/>
    <w:rPr>
      <w:b/>
      <w:bCs/>
      <w:color w:val="0000FF"/>
      <w:sz w:val="16"/>
      <w:szCs w:val="16"/>
    </w:rPr>
  </w:style>
  <w:style w:type="character" w:customStyle="1" w:styleId="st86">
    <w:name w:val="st86"/>
    <w:uiPriority w:val="99"/>
    <w:rsid w:val="00A71F2A"/>
    <w:rPr>
      <w:i/>
      <w:iCs/>
      <w:color w:val="000000"/>
      <w:sz w:val="16"/>
      <w:szCs w:val="16"/>
    </w:rPr>
  </w:style>
  <w:style w:type="character" w:customStyle="1" w:styleId="st87">
    <w:name w:val="st87"/>
    <w:uiPriority w:val="99"/>
    <w:rsid w:val="00A71F2A"/>
    <w:rPr>
      <w:i/>
      <w:iCs/>
      <w:color w:val="0000FF"/>
      <w:sz w:val="16"/>
      <w:szCs w:val="16"/>
    </w:rPr>
  </w:style>
  <w:style w:type="character" w:customStyle="1" w:styleId="st88">
    <w:name w:val="st88"/>
    <w:uiPriority w:val="99"/>
    <w:rsid w:val="00A71F2A"/>
    <w:rPr>
      <w:b/>
      <w:bCs/>
      <w:i/>
      <w:iCs/>
      <w:color w:val="000000"/>
      <w:sz w:val="16"/>
      <w:szCs w:val="16"/>
    </w:rPr>
  </w:style>
  <w:style w:type="character" w:customStyle="1" w:styleId="st89">
    <w:name w:val="st89"/>
    <w:uiPriority w:val="99"/>
    <w:rsid w:val="00A71F2A"/>
    <w:rPr>
      <w:b/>
      <w:bCs/>
      <w:i/>
      <w:iCs/>
      <w:color w:val="0000FF"/>
      <w:sz w:val="16"/>
      <w:szCs w:val="16"/>
    </w:rPr>
  </w:style>
  <w:style w:type="character" w:customStyle="1" w:styleId="st90">
    <w:name w:val="st90"/>
    <w:uiPriority w:val="99"/>
    <w:rsid w:val="00A71F2A"/>
    <w:rPr>
      <w:b/>
      <w:bCs/>
      <w:color w:val="000000"/>
      <w:sz w:val="20"/>
      <w:szCs w:val="20"/>
    </w:rPr>
  </w:style>
  <w:style w:type="character" w:customStyle="1" w:styleId="st91">
    <w:name w:val="st91"/>
    <w:uiPriority w:val="99"/>
    <w:rsid w:val="00A71F2A"/>
    <w:rPr>
      <w:b/>
      <w:bCs/>
      <w:color w:val="0000FF"/>
      <w:sz w:val="20"/>
      <w:szCs w:val="20"/>
    </w:rPr>
  </w:style>
  <w:style w:type="character" w:customStyle="1" w:styleId="st92">
    <w:name w:val="st92"/>
    <w:uiPriority w:val="99"/>
    <w:rsid w:val="00A71F2A"/>
    <w:rPr>
      <w:i/>
      <w:iCs/>
      <w:color w:val="000000"/>
      <w:sz w:val="20"/>
      <w:szCs w:val="20"/>
    </w:rPr>
  </w:style>
  <w:style w:type="character" w:customStyle="1" w:styleId="st93">
    <w:name w:val="st93"/>
    <w:uiPriority w:val="99"/>
    <w:rsid w:val="00A71F2A"/>
    <w:rPr>
      <w:i/>
      <w:iCs/>
      <w:color w:val="0000FF"/>
      <w:sz w:val="20"/>
      <w:szCs w:val="20"/>
    </w:rPr>
  </w:style>
  <w:style w:type="character" w:customStyle="1" w:styleId="st94">
    <w:name w:val="st94"/>
    <w:uiPriority w:val="99"/>
    <w:rsid w:val="00A71F2A"/>
    <w:rPr>
      <w:b/>
      <w:bCs/>
      <w:i/>
      <w:iCs/>
      <w:color w:val="000000"/>
      <w:sz w:val="20"/>
      <w:szCs w:val="20"/>
    </w:rPr>
  </w:style>
  <w:style w:type="character" w:customStyle="1" w:styleId="st95">
    <w:name w:val="st95"/>
    <w:uiPriority w:val="99"/>
    <w:rsid w:val="00A71F2A"/>
    <w:rPr>
      <w:b/>
      <w:bCs/>
      <w:i/>
      <w:iCs/>
      <w:color w:val="0000FF"/>
      <w:sz w:val="20"/>
      <w:szCs w:val="20"/>
    </w:rPr>
  </w:style>
  <w:style w:type="character" w:customStyle="1" w:styleId="st96">
    <w:name w:val="st96"/>
    <w:uiPriority w:val="99"/>
    <w:rsid w:val="00A71F2A"/>
    <w:rPr>
      <w:color w:val="000000"/>
      <w:sz w:val="48"/>
      <w:szCs w:val="48"/>
      <w:vertAlign w:val="superscript"/>
    </w:rPr>
  </w:style>
  <w:style w:type="character" w:customStyle="1" w:styleId="st97">
    <w:name w:val="st97"/>
    <w:uiPriority w:val="99"/>
    <w:rsid w:val="00A71F2A"/>
    <w:rPr>
      <w:color w:val="0000FF"/>
      <w:sz w:val="48"/>
      <w:szCs w:val="48"/>
      <w:vertAlign w:val="superscript"/>
    </w:rPr>
  </w:style>
  <w:style w:type="character" w:customStyle="1" w:styleId="st98">
    <w:name w:val="st98"/>
    <w:uiPriority w:val="99"/>
    <w:rsid w:val="00A71F2A"/>
    <w:rPr>
      <w:color w:val="000000"/>
      <w:sz w:val="48"/>
      <w:szCs w:val="48"/>
      <w:vertAlign w:val="subscript"/>
    </w:rPr>
  </w:style>
  <w:style w:type="character" w:customStyle="1" w:styleId="st99">
    <w:name w:val="st99"/>
    <w:uiPriority w:val="99"/>
    <w:rsid w:val="00A71F2A"/>
    <w:rPr>
      <w:color w:val="0000FF"/>
      <w:sz w:val="48"/>
      <w:szCs w:val="48"/>
      <w:vertAlign w:val="subscript"/>
    </w:rPr>
  </w:style>
  <w:style w:type="character" w:customStyle="1" w:styleId="st100">
    <w:name w:val="st100"/>
    <w:uiPriority w:val="99"/>
    <w:rsid w:val="00A71F2A"/>
    <w:rPr>
      <w:b/>
      <w:bCs/>
      <w:color w:val="000000"/>
      <w:sz w:val="48"/>
      <w:szCs w:val="48"/>
      <w:vertAlign w:val="subscript"/>
    </w:rPr>
  </w:style>
  <w:style w:type="character" w:customStyle="1" w:styleId="st101">
    <w:name w:val="st101"/>
    <w:uiPriority w:val="99"/>
    <w:rsid w:val="00A71F2A"/>
    <w:rPr>
      <w:b/>
      <w:bCs/>
      <w:color w:val="0000FF"/>
      <w:sz w:val="48"/>
      <w:szCs w:val="48"/>
      <w:vertAlign w:val="subscript"/>
    </w:rPr>
  </w:style>
  <w:style w:type="paragraph" w:styleId="a3">
    <w:name w:val="Balloon Text"/>
    <w:basedOn w:val="a"/>
    <w:link w:val="a4"/>
    <w:uiPriority w:val="99"/>
    <w:semiHidden/>
    <w:unhideWhenUsed/>
    <w:rsid w:val="00D24A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24A1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2074</Words>
  <Characters>11824</Characters>
  <Application>Microsoft Office Word</Application>
  <DocSecurity>0</DocSecurity>
  <Lines>98</Lines>
  <Paragraphs>27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13871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User</cp:lastModifiedBy>
  <cp:revision>2</cp:revision>
  <cp:lastPrinted>2025-04-10T06:08:00Z</cp:lastPrinted>
  <dcterms:created xsi:type="dcterms:W3CDTF">2025-04-25T07:12:00Z</dcterms:created>
  <dcterms:modified xsi:type="dcterms:W3CDTF">2025-04-25T07:12:00Z</dcterms:modified>
</cp:coreProperties>
</file>