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DF" w:rsidRDefault="009C54DF" w:rsidP="009C54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Податкова</w:t>
      </w:r>
      <w:proofErr w:type="spellEnd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знижка</w:t>
      </w:r>
      <w:proofErr w:type="spellEnd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переобладнання</w:t>
      </w:r>
      <w:proofErr w:type="spellEnd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9C54DF" w:rsidRDefault="009C54DF" w:rsidP="009C54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алгоритм </w:t>
      </w:r>
      <w:proofErr w:type="spellStart"/>
      <w:r w:rsidRPr="009C54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нарахування</w:t>
      </w:r>
      <w:proofErr w:type="spellEnd"/>
    </w:p>
    <w:p w:rsidR="0075374B" w:rsidRPr="0075374B" w:rsidRDefault="0075374B" w:rsidP="009C54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9C54DF" w:rsidRDefault="0075374B" w:rsidP="009C54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908867" cy="3451703"/>
            <wp:effectExtent l="19050" t="0" r="0" b="0"/>
            <wp:docPr id="1" name="Рисунок 1" descr="Три кроки до узаконення ГБО після переобладнання автомобіля - Обухівська 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кроки до узаконення ГБО після переобладнання автомобіля - Обухівська 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22" cy="34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DF" w:rsidRP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Головне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управління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ДПС у </w:t>
      </w: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uk-UA" w:eastAsia="ru-RU"/>
        </w:rPr>
        <w:t>Харківській області повідомляє</w:t>
      </w: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громадяни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мають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право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включити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до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податкової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знижки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зменшення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оподатковуваного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доходу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платника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ПДФО за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наслідками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звітного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податкового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року,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визначеного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урахуванням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положень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</w:t>
      </w:r>
      <w:proofErr w:type="spellEnd"/>
      <w:proofErr w:type="gram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. 164.6 ст. 164 П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uk-UA" w:eastAsia="ru-RU"/>
        </w:rPr>
        <w:t>одаткового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uk-UA" w:eastAsia="ru-RU"/>
        </w:rPr>
        <w:t xml:space="preserve"> кодексу України (далі – П</w:t>
      </w: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КУ</w:t>
      </w: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uk-UA" w:eastAsia="ru-RU"/>
        </w:rPr>
        <w:t>)</w:t>
      </w:r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фактично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здійснені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ними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протягом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звітного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податкового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року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витрати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вигляді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суми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коштів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сплачених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платником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ПДФО 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зв’язку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із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переобладнанням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gram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транспортного</w:t>
      </w:r>
      <w:proofErr w:type="gram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належить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платникові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ПДФО,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використанням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у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вигляді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палива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моторного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сумішевого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біоетанолу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біодизелю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, стиснутого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або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скрапленого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газу,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інших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видів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біопалива</w:t>
      </w:r>
      <w:proofErr w:type="spellEnd"/>
      <w:r w:rsidRPr="009C54DF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(п.п. 166.3.7 п. 166.3 ст. 166 ПКУ).</w:t>
      </w:r>
    </w:p>
    <w:p w:rsidR="009C54DF" w:rsidRP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Для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отримання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податкової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знижки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потрібно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подати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документи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які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ідтверджують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витрати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понесені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для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: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квитанції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фіскальні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або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товарні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чеки,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прибуткові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касові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ордери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копії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договорів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ідентифікують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продавця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товарів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робіт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послуг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їх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покупця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отримувача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). 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цих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документах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обов’язково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повинно бути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відображено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вартість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товарів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робіт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послуг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 та строк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їх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продажу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виконання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надання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).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також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необхідно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надати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сертифікат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відповідності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для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був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переобладнаний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та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св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ідоцтво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реєстрацію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технічний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паспорт).</w:t>
      </w:r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Порядок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транспортних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затверджений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Постановою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КМУ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21.07.2010 №607,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передбача</w:t>
      </w:r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є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після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його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власник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має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звернутись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організації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оцінки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відповідності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та подати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заяву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проведення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оцінювання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відповідності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правилам, нормативам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стандартам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України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вимогам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викладеним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документі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погодження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ru-RU"/>
        </w:rPr>
      </w:pPr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За результатами такого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оцінювання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видається</w:t>
      </w:r>
      <w:proofErr w:type="spellEnd"/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</w:t>
      </w:r>
    </w:p>
    <w:p w:rsid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ru-RU"/>
        </w:rPr>
      </w:pPr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ru-RU"/>
        </w:rPr>
        <w:t xml:space="preserve">– сертифікат відповідності – для переобладнаних автобусів та транспортних засобів, які переобладнані (за винятком транспортних засобів, переобладнаних для роботи на газовому моторному паливі та альтернативних видах рідкого і газового палива) СГ, що має нормативно-технічну документацію на відповідний вид переобладнання, узгоджену з МВС та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ru-RU"/>
        </w:rPr>
        <w:t>Мінінфраструктури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ru-RU"/>
        </w:rPr>
        <w:t xml:space="preserve"> України, і свідоцтво про погодження конструкції транспортного засобу щодо забезпечення безпеки дорожнього руху;</w:t>
      </w:r>
    </w:p>
    <w:p w:rsidR="009C54DF" w:rsidRP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 xml:space="preserve">– акт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технічної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експертизи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або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сертифікат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відповідності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– для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транспортних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засобі</w:t>
      </w:r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</w:t>
      </w:r>
      <w:proofErr w:type="spellEnd"/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індивідуальному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порядку, 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також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для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роботи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газовому моторному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паливі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альтернативних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видах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ідкого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газового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палива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9C54DF" w:rsidRPr="009C54DF" w:rsidRDefault="009C54DF" w:rsidP="009C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Враховуючи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вищевикладене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метою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отримання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податкової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знижки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суму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коштів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 за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переобладнання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транспортного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засобу</w:t>
      </w:r>
      <w:proofErr w:type="spellEnd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,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що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належить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платникові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ПДФО,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використанням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вигляді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палива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моторного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сумішевого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біоетанолу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біодизелю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стиснутого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або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скрапленого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газу,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інших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видів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біопалива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сплачених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платником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ПДФО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протягом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2020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звітного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року.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Декларація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за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звітний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2020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податковий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</w:t>
      </w:r>
      <w:proofErr w:type="gram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ік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подається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контролюючого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органу, в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якому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перебуває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обліку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платник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податків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по 31 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грудня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2021 року (</w:t>
      </w:r>
      <w:proofErr w:type="spellStart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включно</w:t>
      </w:r>
      <w:proofErr w:type="spellEnd"/>
      <w:r w:rsidRPr="009C54D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).</w:t>
      </w:r>
    </w:p>
    <w:p w:rsidR="00591AD9" w:rsidRPr="009C54DF" w:rsidRDefault="00591AD9" w:rsidP="009C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1AD9" w:rsidRPr="009C54DF" w:rsidSect="0059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4DF"/>
    <w:rsid w:val="001C0775"/>
    <w:rsid w:val="00591AD9"/>
    <w:rsid w:val="0075374B"/>
    <w:rsid w:val="009C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paragraph" w:styleId="1">
    <w:name w:val="heading 1"/>
    <w:basedOn w:val="a"/>
    <w:link w:val="10"/>
    <w:uiPriority w:val="9"/>
    <w:qFormat/>
    <w:rsid w:val="009C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C54DF"/>
  </w:style>
  <w:style w:type="character" w:styleId="a3">
    <w:name w:val="Hyperlink"/>
    <w:basedOn w:val="a0"/>
    <w:uiPriority w:val="99"/>
    <w:semiHidden/>
    <w:unhideWhenUsed/>
    <w:rsid w:val="009C54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2021-11-10T14:24:00Z</dcterms:created>
  <dcterms:modified xsi:type="dcterms:W3CDTF">2021-11-10T14:24:00Z</dcterms:modified>
</cp:coreProperties>
</file>