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1" w:rsidRDefault="009F3D11" w:rsidP="009F3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F3D11">
        <w:rPr>
          <w:rFonts w:ascii="Times New Roman" w:hAnsi="Times New Roman" w:cs="Times New Roman"/>
          <w:b/>
          <w:sz w:val="32"/>
          <w:szCs w:val="32"/>
        </w:rPr>
        <w:t>Одноразове (спеціальне) добровільне декларування:</w:t>
      </w:r>
    </w:p>
    <w:p w:rsidR="009F3D11" w:rsidRPr="009F3D11" w:rsidRDefault="009F3D11" w:rsidP="009F3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11">
        <w:rPr>
          <w:rFonts w:ascii="Times New Roman" w:hAnsi="Times New Roman" w:cs="Times New Roman"/>
          <w:b/>
          <w:sz w:val="32"/>
          <w:szCs w:val="32"/>
        </w:rPr>
        <w:t>чи підлягає оподаткуванню майно, отримане у спадок</w:t>
      </w:r>
    </w:p>
    <w:p w:rsidR="009F3D11" w:rsidRPr="009F3D11" w:rsidRDefault="009F3D11" w:rsidP="009F3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9F3D11" w:rsidRDefault="009F3D11" w:rsidP="009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75605" cy="3444875"/>
            <wp:effectExtent l="0" t="0" r="0" b="3175"/>
            <wp:docPr id="1" name="Рисунок 1" descr="Одноразове добровільне декларування: що це таке та коли стартує - 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разове добровільне декларування: що це таке та коли стартує - 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11" w:rsidRPr="009F3D11" w:rsidRDefault="009F3D11" w:rsidP="009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D11" w:rsidRPr="009F3D11" w:rsidRDefault="009F3D11" w:rsidP="009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11">
        <w:rPr>
          <w:rFonts w:ascii="Times New Roman" w:hAnsi="Times New Roman" w:cs="Times New Roman"/>
          <w:sz w:val="28"/>
          <w:szCs w:val="28"/>
        </w:rPr>
        <w:t xml:space="preserve">Головне управління ДПС у Харківській області нагадує, що одноразове (спеціальне) добровільне декларування – це особливий порядок добровільного декларування фізичною особою, визначеною п. 3 </w:t>
      </w:r>
      <w:proofErr w:type="spellStart"/>
      <w:r w:rsidRPr="009F3D11">
        <w:rPr>
          <w:rFonts w:ascii="Times New Roman" w:hAnsi="Times New Roman" w:cs="Times New Roman"/>
          <w:sz w:val="28"/>
          <w:szCs w:val="28"/>
        </w:rPr>
        <w:t>підрозд</w:t>
      </w:r>
      <w:proofErr w:type="spellEnd"/>
      <w:r w:rsidRPr="009F3D11">
        <w:rPr>
          <w:rFonts w:ascii="Times New Roman" w:hAnsi="Times New Roman" w:cs="Times New Roman"/>
          <w:sz w:val="28"/>
          <w:szCs w:val="28"/>
        </w:rPr>
        <w:t xml:space="preserve">. 94 </w:t>
      </w:r>
      <w:proofErr w:type="spellStart"/>
      <w:r w:rsidRPr="009F3D11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9F3D11">
        <w:rPr>
          <w:rFonts w:ascii="Times New Roman" w:hAnsi="Times New Roman" w:cs="Times New Roman"/>
          <w:sz w:val="28"/>
          <w:szCs w:val="28"/>
        </w:rPr>
        <w:t xml:space="preserve">. ХХ ПКУ, належних їй активів розміщених на території України та/або за її межами, якщо такі активи були одержані (набуті) такою фізичною особою за рахунок доходів, що підлягали в момент їх нарахування (отримання)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та/або міжнародних договорів, згода на обов’язковість яких надана ВРУ, та/або які не були задекларовані в порушення податкового та валютного законодавства, контроль за дотриманням якого покладено на контролюючі органи, протягом будь-якого з податкових періодів, що мали місце до 01.01.2021р. (п. 1 </w:t>
      </w:r>
      <w:proofErr w:type="spellStart"/>
      <w:r w:rsidRPr="009F3D11">
        <w:rPr>
          <w:rFonts w:ascii="Times New Roman" w:hAnsi="Times New Roman" w:cs="Times New Roman"/>
          <w:sz w:val="28"/>
          <w:szCs w:val="28"/>
        </w:rPr>
        <w:t>підрозд</w:t>
      </w:r>
      <w:proofErr w:type="spellEnd"/>
      <w:r w:rsidRPr="009F3D11">
        <w:rPr>
          <w:rFonts w:ascii="Times New Roman" w:hAnsi="Times New Roman" w:cs="Times New Roman"/>
          <w:sz w:val="28"/>
          <w:szCs w:val="28"/>
        </w:rPr>
        <w:t xml:space="preserve">. 94 </w:t>
      </w:r>
      <w:proofErr w:type="spellStart"/>
      <w:r w:rsidRPr="009F3D11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Pr="009F3D11">
        <w:rPr>
          <w:rFonts w:ascii="Times New Roman" w:hAnsi="Times New Roman" w:cs="Times New Roman"/>
          <w:sz w:val="28"/>
          <w:szCs w:val="28"/>
        </w:rPr>
        <w:t>. ХХ ПКУ).</w:t>
      </w:r>
    </w:p>
    <w:p w:rsidR="009F3D11" w:rsidRPr="009F3D11" w:rsidRDefault="009F3D11" w:rsidP="009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11">
        <w:rPr>
          <w:rFonts w:ascii="Times New Roman" w:hAnsi="Times New Roman" w:cs="Times New Roman"/>
          <w:sz w:val="28"/>
          <w:szCs w:val="28"/>
        </w:rPr>
        <w:t>Порядок оподаткування доходу, отриманого платником податку на доходи фізичних осіб, в результаті прийняття ним у спадщину чи дарунок нерухомого або рухомого майна визначено ст. 174 ПКУ, а саме:</w:t>
      </w:r>
    </w:p>
    <w:p w:rsidR="009F3D11" w:rsidRPr="009F3D11" w:rsidRDefault="009F3D11" w:rsidP="009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11">
        <w:rPr>
          <w:rFonts w:ascii="Times New Roman" w:hAnsi="Times New Roman" w:cs="Times New Roman"/>
          <w:sz w:val="28"/>
          <w:szCs w:val="28"/>
        </w:rPr>
        <w:t>- за нульовою ставкою оподатковуються об’єкти спадщини, що успадковуються членами сім’ї спадкодавця першого та другого ступенів споріднення (</w:t>
      </w:r>
      <w:proofErr w:type="spellStart"/>
      <w:r w:rsidRPr="009F3D1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F3D11">
        <w:rPr>
          <w:rFonts w:ascii="Times New Roman" w:hAnsi="Times New Roman" w:cs="Times New Roman"/>
          <w:sz w:val="28"/>
          <w:szCs w:val="28"/>
        </w:rPr>
        <w:t xml:space="preserve">. 174.2.1 «а») ст. 172 ПКУ). </w:t>
      </w:r>
    </w:p>
    <w:p w:rsidR="009F3D11" w:rsidRPr="009F3D11" w:rsidRDefault="009F3D11" w:rsidP="009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11">
        <w:rPr>
          <w:rFonts w:ascii="Times New Roman" w:hAnsi="Times New Roman" w:cs="Times New Roman"/>
          <w:sz w:val="28"/>
          <w:szCs w:val="28"/>
        </w:rPr>
        <w:t>Об’єкти дарування, подаровані платнику податку іншою фізичною особою, оподатковуються згідно з правилами, встановленими для оподаткування спадщини (п. 174.6 ст. 174 ПКУ).</w:t>
      </w:r>
    </w:p>
    <w:p w:rsidR="009F3D11" w:rsidRPr="009F3D11" w:rsidRDefault="009F3D11" w:rsidP="009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11">
        <w:rPr>
          <w:rFonts w:ascii="Times New Roman" w:hAnsi="Times New Roman" w:cs="Times New Roman"/>
          <w:sz w:val="28"/>
          <w:szCs w:val="28"/>
        </w:rPr>
        <w:t>Особами, відповідальними за сплату (перерахування) податку до бюджету, є спадкоємці/обдаровані, які отримали спадщину/дарунок (п. 174.3 ст. 174 ПКУ).</w:t>
      </w:r>
    </w:p>
    <w:p w:rsidR="009F3D11" w:rsidRPr="009F3D11" w:rsidRDefault="009F3D11" w:rsidP="009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11">
        <w:rPr>
          <w:rFonts w:ascii="Times New Roman" w:hAnsi="Times New Roman" w:cs="Times New Roman"/>
          <w:sz w:val="28"/>
          <w:szCs w:val="28"/>
        </w:rPr>
        <w:lastRenderedPageBreak/>
        <w:t>Дохід у вигляді вартості успадкованого/отриманого у дарунок майна (у межах, що підлягає оподаткуванню, зазначається в річній податковій декларації про майновий стан та доходи, крім спадкоємців, які отримали у спадщину/дарунок об’єкти, що оподатковуються за нульовою ставкою податку на доходи фізичних осіб.</w:t>
      </w:r>
    </w:p>
    <w:p w:rsidR="00743999" w:rsidRPr="009F3D11" w:rsidRDefault="009F3D11" w:rsidP="009F3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D11">
        <w:rPr>
          <w:rFonts w:ascii="Times New Roman" w:hAnsi="Times New Roman" w:cs="Times New Roman"/>
          <w:sz w:val="28"/>
          <w:szCs w:val="28"/>
        </w:rPr>
        <w:t>Отже, у разі якщо об’єкти рухомого або нерухомого майна були отримані у спадок (подарунок) від члена сім’ї першого або другого ступеня споріднення, то подавати одноразову (спеціальну) добровільну декларацію платнику податків не потрібно за умови відсутності інших підстав для подання такої декларації.</w:t>
      </w:r>
    </w:p>
    <w:sectPr w:rsidR="00743999" w:rsidRPr="009F3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11"/>
    <w:rsid w:val="00743999"/>
    <w:rsid w:val="009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2021-09-21T08:37:00Z</dcterms:created>
  <dcterms:modified xsi:type="dcterms:W3CDTF">2021-09-21T08:39:00Z</dcterms:modified>
</cp:coreProperties>
</file>