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18" w:rsidRDefault="00350918" w:rsidP="003509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Звіт про базове відстеження</w:t>
      </w:r>
    </w:p>
    <w:p w:rsidR="00350918" w:rsidRPr="00350918" w:rsidRDefault="00350918" w:rsidP="00822BEC">
      <w:pPr>
        <w:jc w:val="center"/>
        <w:rPr>
          <w:b/>
          <w:sz w:val="28"/>
          <w:szCs w:val="28"/>
        </w:rPr>
      </w:pPr>
      <w:r w:rsidRPr="00350918">
        <w:rPr>
          <w:b/>
          <w:bCs/>
          <w:sz w:val="28"/>
          <w:szCs w:val="28"/>
        </w:rPr>
        <w:t>результати</w:t>
      </w:r>
      <w:r w:rsidR="006764B2">
        <w:rPr>
          <w:b/>
          <w:bCs/>
          <w:sz w:val="28"/>
          <w:szCs w:val="28"/>
        </w:rPr>
        <w:t xml:space="preserve">вності регуляторного акта - </w:t>
      </w:r>
      <w:proofErr w:type="spellStart"/>
      <w:r w:rsidR="006764B2">
        <w:rPr>
          <w:b/>
          <w:bCs/>
          <w:sz w:val="28"/>
          <w:szCs w:val="28"/>
        </w:rPr>
        <w:t>проє</w:t>
      </w:r>
      <w:r w:rsidRPr="00350918">
        <w:rPr>
          <w:b/>
          <w:bCs/>
          <w:sz w:val="28"/>
          <w:szCs w:val="28"/>
        </w:rPr>
        <w:t>кт</w:t>
      </w:r>
      <w:proofErr w:type="spellEnd"/>
      <w:r w:rsidRPr="00350918">
        <w:rPr>
          <w:b/>
          <w:bCs/>
          <w:sz w:val="28"/>
          <w:szCs w:val="28"/>
        </w:rPr>
        <w:t xml:space="preserve"> рішення </w:t>
      </w:r>
      <w:proofErr w:type="spellStart"/>
      <w:r w:rsidR="00822BEC">
        <w:rPr>
          <w:b/>
          <w:bCs/>
          <w:sz w:val="28"/>
          <w:szCs w:val="28"/>
        </w:rPr>
        <w:t>Зачепилівської</w:t>
      </w:r>
      <w:proofErr w:type="spellEnd"/>
      <w:r w:rsidR="00822BEC">
        <w:rPr>
          <w:b/>
          <w:bCs/>
          <w:sz w:val="28"/>
          <w:szCs w:val="28"/>
        </w:rPr>
        <w:t xml:space="preserve"> селищної</w:t>
      </w:r>
      <w:r w:rsidRPr="00350918">
        <w:rPr>
          <w:b/>
          <w:bCs/>
          <w:sz w:val="28"/>
          <w:szCs w:val="28"/>
        </w:rPr>
        <w:t xml:space="preserve"> ради</w:t>
      </w:r>
      <w:r w:rsidR="006764B2">
        <w:rPr>
          <w:b/>
          <w:bCs/>
          <w:sz w:val="28"/>
          <w:szCs w:val="28"/>
        </w:rPr>
        <w:t xml:space="preserve"> </w:t>
      </w:r>
      <w:r w:rsidR="006764B2">
        <w:rPr>
          <w:b/>
          <w:sz w:val="28"/>
          <w:szCs w:val="28"/>
        </w:rPr>
        <w:t xml:space="preserve">«Про </w:t>
      </w:r>
      <w:r w:rsidR="00822BEC">
        <w:rPr>
          <w:b/>
          <w:sz w:val="28"/>
          <w:szCs w:val="28"/>
        </w:rPr>
        <w:t>затвердження</w:t>
      </w:r>
      <w:r w:rsidRPr="00350918">
        <w:rPr>
          <w:b/>
          <w:sz w:val="28"/>
          <w:szCs w:val="28"/>
        </w:rPr>
        <w:t xml:space="preserve"> Правил благоустрою населених пунктів  </w:t>
      </w:r>
      <w:proofErr w:type="spellStart"/>
      <w:r w:rsidR="00822BEC">
        <w:rPr>
          <w:b/>
          <w:sz w:val="28"/>
          <w:szCs w:val="28"/>
        </w:rPr>
        <w:t>Зачепилівської</w:t>
      </w:r>
      <w:proofErr w:type="spellEnd"/>
      <w:r w:rsidR="00822BEC">
        <w:rPr>
          <w:b/>
          <w:sz w:val="28"/>
          <w:szCs w:val="28"/>
        </w:rPr>
        <w:t xml:space="preserve"> селищної</w:t>
      </w:r>
      <w:r w:rsidRPr="00350918">
        <w:rPr>
          <w:b/>
          <w:sz w:val="28"/>
          <w:szCs w:val="28"/>
        </w:rPr>
        <w:t xml:space="preserve"> ради</w:t>
      </w:r>
      <w:r w:rsidR="00822BEC">
        <w:rPr>
          <w:b/>
          <w:sz w:val="28"/>
          <w:szCs w:val="28"/>
        </w:rPr>
        <w:t>»</w:t>
      </w:r>
    </w:p>
    <w:p w:rsidR="00477B86" w:rsidRDefault="00BA7FC2" w:rsidP="00477B86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br/>
      </w:r>
      <w:r w:rsidR="00477B86">
        <w:rPr>
          <w:b/>
          <w:sz w:val="28"/>
          <w:szCs w:val="28"/>
        </w:rPr>
        <w:t xml:space="preserve">           1.Вид та назва регуляторного акта</w:t>
      </w:r>
    </w:p>
    <w:p w:rsidR="001C3C08" w:rsidRPr="000B74F2" w:rsidRDefault="00477B86" w:rsidP="001C3C08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822BEC">
        <w:rPr>
          <w:sz w:val="28"/>
          <w:szCs w:val="28"/>
        </w:rPr>
        <w:t>Проєкт</w:t>
      </w:r>
      <w:proofErr w:type="spellEnd"/>
      <w:r w:rsidR="00822BEC">
        <w:rPr>
          <w:sz w:val="28"/>
          <w:szCs w:val="28"/>
        </w:rPr>
        <w:t xml:space="preserve"> р</w:t>
      </w:r>
      <w:r w:rsidR="00BA7FC2" w:rsidRPr="00477B86">
        <w:rPr>
          <w:sz w:val="28"/>
          <w:szCs w:val="28"/>
        </w:rPr>
        <w:t xml:space="preserve">ішення </w:t>
      </w:r>
      <w:proofErr w:type="spellStart"/>
      <w:r w:rsidR="00822BEC">
        <w:rPr>
          <w:sz w:val="28"/>
          <w:szCs w:val="28"/>
        </w:rPr>
        <w:t>Зачепилівської</w:t>
      </w:r>
      <w:proofErr w:type="spellEnd"/>
      <w:r w:rsidR="00822BEC">
        <w:rPr>
          <w:sz w:val="28"/>
          <w:szCs w:val="28"/>
        </w:rPr>
        <w:t xml:space="preserve"> селищної</w:t>
      </w:r>
      <w:r w:rsidR="00BA7FC2" w:rsidRPr="00477B86">
        <w:rPr>
          <w:sz w:val="28"/>
          <w:szCs w:val="28"/>
        </w:rPr>
        <w:t xml:space="preserve"> ради </w:t>
      </w:r>
      <w:r w:rsidR="0082783E" w:rsidRPr="00477B86">
        <w:rPr>
          <w:sz w:val="28"/>
          <w:szCs w:val="28"/>
        </w:rPr>
        <w:t>«Про</w:t>
      </w:r>
      <w:r w:rsidR="0082783E" w:rsidRPr="008449F8">
        <w:rPr>
          <w:sz w:val="28"/>
          <w:szCs w:val="28"/>
        </w:rPr>
        <w:t xml:space="preserve"> </w:t>
      </w:r>
      <w:r w:rsidR="000B7FA9">
        <w:rPr>
          <w:sz w:val="28"/>
          <w:szCs w:val="28"/>
        </w:rPr>
        <w:t>затвердження</w:t>
      </w:r>
      <w:r w:rsidR="0082783E" w:rsidRPr="008449F8">
        <w:rPr>
          <w:sz w:val="28"/>
          <w:szCs w:val="28"/>
        </w:rPr>
        <w:t xml:space="preserve">  </w:t>
      </w:r>
      <w:r w:rsidR="001C3C08" w:rsidRPr="001C3C08">
        <w:rPr>
          <w:sz w:val="28"/>
          <w:szCs w:val="28"/>
        </w:rPr>
        <w:t xml:space="preserve">Правил благоустрою населених пунктів </w:t>
      </w:r>
      <w:proofErr w:type="spellStart"/>
      <w:r w:rsidR="000B74F2">
        <w:rPr>
          <w:sz w:val="28"/>
          <w:szCs w:val="28"/>
        </w:rPr>
        <w:t>Зачепилівської</w:t>
      </w:r>
      <w:proofErr w:type="spellEnd"/>
      <w:r w:rsidR="000B74F2">
        <w:rPr>
          <w:sz w:val="28"/>
          <w:szCs w:val="28"/>
        </w:rPr>
        <w:t xml:space="preserve"> селищної</w:t>
      </w:r>
      <w:r w:rsidR="000B74F2" w:rsidRPr="00477B86">
        <w:rPr>
          <w:sz w:val="28"/>
          <w:szCs w:val="28"/>
        </w:rPr>
        <w:t xml:space="preserve"> </w:t>
      </w:r>
      <w:r w:rsidR="001C3C08" w:rsidRPr="001C3C08">
        <w:rPr>
          <w:sz w:val="28"/>
          <w:szCs w:val="28"/>
        </w:rPr>
        <w:t>ради</w:t>
      </w:r>
      <w:r w:rsidR="000B7FA9">
        <w:rPr>
          <w:sz w:val="28"/>
          <w:szCs w:val="28"/>
        </w:rPr>
        <w:t>».</w:t>
      </w:r>
    </w:p>
    <w:p w:rsidR="00BA7FC2" w:rsidRPr="008641E3" w:rsidRDefault="00BA7FC2" w:rsidP="001C3C08">
      <w:pPr>
        <w:jc w:val="both"/>
        <w:rPr>
          <w:b/>
          <w:sz w:val="16"/>
          <w:szCs w:val="16"/>
        </w:rPr>
      </w:pPr>
    </w:p>
    <w:p w:rsidR="001C3C08" w:rsidRDefault="001C3C08" w:rsidP="001C3C0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2.Виконавець заходів з відстеження</w:t>
      </w:r>
    </w:p>
    <w:p w:rsidR="001C3C08" w:rsidRPr="001C3C08" w:rsidRDefault="000B7FA9" w:rsidP="001C3C0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C3C08">
        <w:rPr>
          <w:sz w:val="28"/>
          <w:szCs w:val="28"/>
        </w:rPr>
        <w:t xml:space="preserve">ідділ </w:t>
      </w:r>
      <w:r>
        <w:rPr>
          <w:sz w:val="28"/>
          <w:szCs w:val="28"/>
        </w:rPr>
        <w:t xml:space="preserve">містобудування, архітектури та житлово-комунального господарства </w:t>
      </w:r>
      <w:proofErr w:type="spellStart"/>
      <w:r>
        <w:rPr>
          <w:sz w:val="28"/>
          <w:szCs w:val="28"/>
        </w:rPr>
        <w:t>Зачепилівської</w:t>
      </w:r>
      <w:proofErr w:type="spellEnd"/>
      <w:r>
        <w:rPr>
          <w:sz w:val="28"/>
          <w:szCs w:val="28"/>
        </w:rPr>
        <w:t xml:space="preserve"> селищної</w:t>
      </w:r>
      <w:r w:rsidR="001C3C08">
        <w:rPr>
          <w:sz w:val="28"/>
          <w:szCs w:val="28"/>
        </w:rPr>
        <w:t xml:space="preserve"> ради</w:t>
      </w:r>
      <w:r w:rsidR="00DA49CE">
        <w:rPr>
          <w:sz w:val="28"/>
          <w:szCs w:val="28"/>
        </w:rPr>
        <w:t>.</w:t>
      </w:r>
    </w:p>
    <w:p w:rsidR="00306A03" w:rsidRPr="008641E3" w:rsidRDefault="00306A03" w:rsidP="001C3C08">
      <w:pPr>
        <w:shd w:val="clear" w:color="auto" w:fill="FFFFFF"/>
        <w:ind w:firstLine="709"/>
        <w:jc w:val="both"/>
        <w:rPr>
          <w:b/>
          <w:sz w:val="16"/>
          <w:szCs w:val="16"/>
        </w:rPr>
      </w:pPr>
    </w:p>
    <w:p w:rsidR="001C3C08" w:rsidRDefault="001C3C08" w:rsidP="001C3C08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3.Цілі прийняття регуляторного акта</w:t>
      </w:r>
    </w:p>
    <w:p w:rsidR="00E964FB" w:rsidRPr="008449F8" w:rsidRDefault="002D5BA9" w:rsidP="003F43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449F8">
        <w:rPr>
          <w:sz w:val="28"/>
          <w:szCs w:val="28"/>
        </w:rPr>
        <w:t xml:space="preserve">       </w:t>
      </w:r>
      <w:r w:rsidR="001C3C08">
        <w:rPr>
          <w:sz w:val="28"/>
          <w:szCs w:val="28"/>
        </w:rPr>
        <w:t xml:space="preserve">   </w:t>
      </w:r>
      <w:r w:rsidRPr="008449F8">
        <w:rPr>
          <w:sz w:val="28"/>
          <w:szCs w:val="28"/>
        </w:rPr>
        <w:t xml:space="preserve">Правила розроблені для населених пунктів </w:t>
      </w:r>
      <w:proofErr w:type="spellStart"/>
      <w:r w:rsidR="001A0A83">
        <w:rPr>
          <w:sz w:val="28"/>
          <w:szCs w:val="28"/>
        </w:rPr>
        <w:t>Зачепилівської</w:t>
      </w:r>
      <w:proofErr w:type="spellEnd"/>
      <w:r w:rsidR="001A0A83">
        <w:rPr>
          <w:sz w:val="28"/>
          <w:szCs w:val="28"/>
        </w:rPr>
        <w:t xml:space="preserve"> ТГ</w:t>
      </w:r>
      <w:r w:rsidRPr="008449F8">
        <w:rPr>
          <w:sz w:val="28"/>
          <w:szCs w:val="28"/>
        </w:rPr>
        <w:t>, детально урегульовують відносини у сфері   прав та обов’язків суб’єктів благоустрою</w:t>
      </w:r>
      <w:r w:rsidR="00027042" w:rsidRPr="008449F8">
        <w:rPr>
          <w:sz w:val="28"/>
          <w:szCs w:val="28"/>
        </w:rPr>
        <w:t>, а саме по розділах:</w:t>
      </w:r>
      <w:r w:rsidR="008A0E2D" w:rsidRPr="008449F8">
        <w:rPr>
          <w:bCs/>
          <w:sz w:val="28"/>
          <w:szCs w:val="28"/>
        </w:rPr>
        <w:t xml:space="preserve"> </w:t>
      </w:r>
      <w:r w:rsidR="001A0A83">
        <w:rPr>
          <w:bCs/>
          <w:sz w:val="28"/>
          <w:szCs w:val="28"/>
        </w:rPr>
        <w:t>Порядок здійснення благоустрою та утримання територій об’єктів благоустрою</w:t>
      </w:r>
      <w:r w:rsidR="008A0E2D" w:rsidRPr="008449F8">
        <w:rPr>
          <w:bCs/>
          <w:sz w:val="28"/>
          <w:szCs w:val="28"/>
        </w:rPr>
        <w:t xml:space="preserve">; </w:t>
      </w:r>
      <w:r w:rsidR="001A0A83">
        <w:rPr>
          <w:bCs/>
          <w:sz w:val="28"/>
          <w:szCs w:val="28"/>
        </w:rPr>
        <w:t>вимоги до впорядкування територій підприємств</w:t>
      </w:r>
      <w:r w:rsidR="00523143" w:rsidRPr="008449F8">
        <w:rPr>
          <w:bCs/>
          <w:sz w:val="28"/>
          <w:szCs w:val="28"/>
        </w:rPr>
        <w:t>,</w:t>
      </w:r>
      <w:r w:rsidR="001A0A83">
        <w:rPr>
          <w:bCs/>
          <w:sz w:val="28"/>
          <w:szCs w:val="28"/>
        </w:rPr>
        <w:t xml:space="preserve"> установ, організацій</w:t>
      </w:r>
      <w:r w:rsidR="00523143" w:rsidRPr="008449F8">
        <w:rPr>
          <w:bCs/>
          <w:sz w:val="28"/>
          <w:szCs w:val="28"/>
        </w:rPr>
        <w:t>;</w:t>
      </w:r>
      <w:r w:rsidR="00914A04" w:rsidRPr="008449F8">
        <w:rPr>
          <w:bCs/>
          <w:sz w:val="28"/>
          <w:szCs w:val="28"/>
        </w:rPr>
        <w:t xml:space="preserve"> </w:t>
      </w:r>
      <w:r w:rsidR="001A0A83">
        <w:rPr>
          <w:bCs/>
          <w:sz w:val="28"/>
          <w:szCs w:val="28"/>
        </w:rPr>
        <w:t xml:space="preserve">вимоги до утримання зелених насаджень на об’єктах благоустрою загального користування </w:t>
      </w:r>
      <w:r w:rsidR="00914A04" w:rsidRPr="008449F8">
        <w:rPr>
          <w:bCs/>
          <w:sz w:val="28"/>
          <w:szCs w:val="28"/>
        </w:rPr>
        <w:t>(</w:t>
      </w:r>
      <w:r w:rsidR="001A0A83">
        <w:rPr>
          <w:bCs/>
          <w:sz w:val="28"/>
          <w:szCs w:val="28"/>
        </w:rPr>
        <w:t>селищних лісах</w:t>
      </w:r>
      <w:r w:rsidR="00914A04" w:rsidRPr="008449F8">
        <w:rPr>
          <w:bCs/>
          <w:sz w:val="28"/>
          <w:szCs w:val="28"/>
        </w:rPr>
        <w:t>,</w:t>
      </w:r>
      <w:r w:rsidR="001A0A83">
        <w:rPr>
          <w:bCs/>
          <w:sz w:val="28"/>
          <w:szCs w:val="28"/>
        </w:rPr>
        <w:t xml:space="preserve"> парках, скверах, садах, рекреаційних зонах</w:t>
      </w:r>
      <w:r w:rsidR="003F43F9" w:rsidRPr="008449F8">
        <w:rPr>
          <w:bCs/>
          <w:sz w:val="28"/>
          <w:szCs w:val="28"/>
        </w:rPr>
        <w:t>)</w:t>
      </w:r>
      <w:r w:rsidR="001A31BD" w:rsidRPr="008449F8">
        <w:rPr>
          <w:bCs/>
          <w:sz w:val="28"/>
          <w:szCs w:val="28"/>
        </w:rPr>
        <w:t xml:space="preserve">; </w:t>
      </w:r>
      <w:r w:rsidR="001A0A83">
        <w:rPr>
          <w:bCs/>
          <w:sz w:val="28"/>
          <w:szCs w:val="28"/>
        </w:rPr>
        <w:t>вимоги до утримання будівель і споруд</w:t>
      </w:r>
      <w:r w:rsidR="001A31BD" w:rsidRPr="008449F8">
        <w:rPr>
          <w:bCs/>
          <w:sz w:val="28"/>
          <w:szCs w:val="28"/>
        </w:rPr>
        <w:t>,</w:t>
      </w:r>
      <w:r w:rsidR="001A0A83">
        <w:rPr>
          <w:bCs/>
          <w:sz w:val="28"/>
          <w:szCs w:val="28"/>
        </w:rPr>
        <w:t xml:space="preserve"> інженерного захисту території</w:t>
      </w:r>
      <w:r w:rsidR="00BE5A9B" w:rsidRPr="008449F8">
        <w:rPr>
          <w:bCs/>
          <w:sz w:val="28"/>
          <w:szCs w:val="28"/>
        </w:rPr>
        <w:t>;</w:t>
      </w:r>
      <w:r w:rsidR="001A0A83">
        <w:rPr>
          <w:bCs/>
          <w:sz w:val="28"/>
          <w:szCs w:val="28"/>
        </w:rPr>
        <w:t xml:space="preserve"> вимоги до санітарного очищення території</w:t>
      </w:r>
      <w:r w:rsidR="003F43F9" w:rsidRPr="008449F8">
        <w:rPr>
          <w:bCs/>
          <w:sz w:val="28"/>
          <w:szCs w:val="28"/>
        </w:rPr>
        <w:t>;</w:t>
      </w:r>
      <w:r w:rsidR="001A0A83">
        <w:rPr>
          <w:bCs/>
          <w:sz w:val="28"/>
          <w:szCs w:val="28"/>
        </w:rPr>
        <w:t xml:space="preserve"> Порядок тимчасового порушення благоустрою у зв’язку з проведенням </w:t>
      </w:r>
      <w:r w:rsidR="00AD284F">
        <w:rPr>
          <w:bCs/>
          <w:sz w:val="28"/>
          <w:szCs w:val="28"/>
        </w:rPr>
        <w:t>земляних робіт</w:t>
      </w:r>
      <w:r w:rsidR="003F43F9" w:rsidRPr="008449F8">
        <w:rPr>
          <w:bCs/>
          <w:sz w:val="28"/>
          <w:szCs w:val="28"/>
        </w:rPr>
        <w:t>;</w:t>
      </w:r>
      <w:r w:rsidR="00AD284F">
        <w:rPr>
          <w:bCs/>
          <w:sz w:val="28"/>
          <w:szCs w:val="28"/>
        </w:rPr>
        <w:t xml:space="preserve"> дотримання тиші у громадських місцях</w:t>
      </w:r>
      <w:r w:rsidR="003F43F9" w:rsidRPr="008449F8">
        <w:rPr>
          <w:bCs/>
          <w:sz w:val="28"/>
          <w:szCs w:val="28"/>
        </w:rPr>
        <w:t xml:space="preserve">; </w:t>
      </w:r>
      <w:r w:rsidR="00AD284F">
        <w:rPr>
          <w:bCs/>
          <w:sz w:val="28"/>
          <w:szCs w:val="28"/>
        </w:rPr>
        <w:t>та інші</w:t>
      </w:r>
      <w:r w:rsidR="003F43F9" w:rsidRPr="008449F8">
        <w:rPr>
          <w:bCs/>
          <w:sz w:val="28"/>
          <w:szCs w:val="28"/>
        </w:rPr>
        <w:t>.</w:t>
      </w:r>
    </w:p>
    <w:p w:rsidR="002D5BA9" w:rsidRPr="005A6D16" w:rsidRDefault="002D5BA9" w:rsidP="008A0E2D">
      <w:pPr>
        <w:jc w:val="both"/>
        <w:rPr>
          <w:b/>
          <w:bCs/>
          <w:sz w:val="16"/>
          <w:szCs w:val="16"/>
        </w:rPr>
      </w:pPr>
    </w:p>
    <w:p w:rsidR="00F15CB3" w:rsidRDefault="00F15CB3" w:rsidP="00F15CB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4.Строк виконання заходів з відстеження</w:t>
      </w:r>
    </w:p>
    <w:p w:rsidR="00F15CB3" w:rsidRDefault="00F15CB3" w:rsidP="00F15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</w:t>
      </w:r>
      <w:r w:rsidR="00AD284F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AD284F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AD284F">
        <w:rPr>
          <w:sz w:val="28"/>
          <w:szCs w:val="28"/>
        </w:rPr>
        <w:t>1</w:t>
      </w:r>
      <w:r>
        <w:rPr>
          <w:sz w:val="28"/>
          <w:szCs w:val="28"/>
        </w:rPr>
        <w:t xml:space="preserve"> року  по  </w:t>
      </w:r>
      <w:r w:rsidR="00AD284F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AD284F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AD284F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</w:p>
    <w:p w:rsidR="00F15CB3" w:rsidRDefault="00F15CB3" w:rsidP="00F15CB3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F15CB3" w:rsidRDefault="00F15CB3" w:rsidP="00F15CB3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5.Тип відстеження</w:t>
      </w:r>
    </w:p>
    <w:p w:rsidR="00F15CB3" w:rsidRDefault="008917B5" w:rsidP="00F15CB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Базове</w:t>
      </w:r>
    </w:p>
    <w:p w:rsidR="00BA7FC2" w:rsidRPr="005A6D16" w:rsidRDefault="00BA7FC2" w:rsidP="00BA7FC2">
      <w:pPr>
        <w:jc w:val="both"/>
        <w:rPr>
          <w:sz w:val="16"/>
          <w:szCs w:val="16"/>
        </w:rPr>
      </w:pPr>
    </w:p>
    <w:p w:rsidR="006C4651" w:rsidRDefault="006C4651" w:rsidP="006C4651">
      <w:pPr>
        <w:ind w:firstLine="709"/>
        <w:jc w:val="both"/>
        <w:rPr>
          <w:rStyle w:val="a6"/>
          <w:b w:val="0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6.Метод одержання результатів відстеження    </w:t>
      </w:r>
    </w:p>
    <w:p w:rsidR="00306A03" w:rsidRPr="00C81BA4" w:rsidRDefault="00306A03" w:rsidP="00306A03">
      <w:pPr>
        <w:ind w:firstLine="709"/>
        <w:jc w:val="both"/>
        <w:rPr>
          <w:sz w:val="28"/>
          <w:szCs w:val="28"/>
        </w:rPr>
      </w:pPr>
      <w:r w:rsidRPr="00C81BA4">
        <w:rPr>
          <w:sz w:val="28"/>
          <w:szCs w:val="28"/>
        </w:rPr>
        <w:t xml:space="preserve">При відстеженні </w:t>
      </w:r>
      <w:r w:rsidR="00C81BA4">
        <w:rPr>
          <w:sz w:val="28"/>
          <w:szCs w:val="28"/>
        </w:rPr>
        <w:t>буде застосовуватись</w:t>
      </w:r>
      <w:r w:rsidRPr="00C81BA4">
        <w:rPr>
          <w:sz w:val="28"/>
          <w:szCs w:val="28"/>
        </w:rPr>
        <w:t xml:space="preserve"> статистичний метод проведен</w:t>
      </w:r>
      <w:r w:rsidR="00C81BA4">
        <w:rPr>
          <w:sz w:val="28"/>
          <w:szCs w:val="28"/>
        </w:rPr>
        <w:t>ня відстеження результативності.</w:t>
      </w:r>
    </w:p>
    <w:p w:rsidR="00306A03" w:rsidRPr="005A6D16" w:rsidRDefault="00306A03" w:rsidP="00306A03">
      <w:pPr>
        <w:ind w:firstLine="709"/>
        <w:jc w:val="both"/>
        <w:rPr>
          <w:b/>
          <w:sz w:val="16"/>
          <w:szCs w:val="16"/>
        </w:rPr>
      </w:pPr>
    </w:p>
    <w:p w:rsidR="00306A03" w:rsidRDefault="00C81BA4" w:rsidP="00306A03">
      <w:pPr>
        <w:ind w:firstLine="709"/>
        <w:jc w:val="both"/>
        <w:rPr>
          <w:rStyle w:val="a6"/>
          <w:color w:val="000000"/>
          <w:sz w:val="28"/>
          <w:szCs w:val="28"/>
        </w:rPr>
      </w:pPr>
      <w:r>
        <w:rPr>
          <w:b/>
          <w:sz w:val="28"/>
          <w:szCs w:val="28"/>
        </w:rPr>
        <w:t>7</w:t>
      </w:r>
      <w:r w:rsidR="00306A03">
        <w:rPr>
          <w:b/>
          <w:sz w:val="28"/>
          <w:szCs w:val="28"/>
        </w:rPr>
        <w:t xml:space="preserve">. Кількісні та якісні значення показників результативності </w:t>
      </w:r>
      <w:r w:rsidR="00306A03" w:rsidRPr="003314C7">
        <w:rPr>
          <w:rStyle w:val="a6"/>
          <w:color w:val="000000"/>
          <w:sz w:val="28"/>
          <w:szCs w:val="28"/>
        </w:rPr>
        <w:t>регуляторного акта</w:t>
      </w:r>
    </w:p>
    <w:p w:rsidR="00BA7FC2" w:rsidRPr="006C4651" w:rsidRDefault="006C4651" w:rsidP="00C1179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A7FC2" w:rsidRPr="006C4651">
        <w:rPr>
          <w:bCs/>
          <w:sz w:val="28"/>
          <w:szCs w:val="28"/>
        </w:rPr>
        <w:t>Показниками відстеження  даного регуляторного акту є:</w:t>
      </w:r>
    </w:p>
    <w:p w:rsidR="00BA7FC2" w:rsidRPr="008449F8" w:rsidRDefault="006C4651" w:rsidP="00C1179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A7FC2" w:rsidRPr="008449F8">
        <w:rPr>
          <w:sz w:val="28"/>
          <w:szCs w:val="28"/>
        </w:rPr>
        <w:t xml:space="preserve">ількість скарг суб’єктів господарювання або мешканців </w:t>
      </w:r>
      <w:proofErr w:type="spellStart"/>
      <w:r w:rsidR="005C4E44">
        <w:rPr>
          <w:sz w:val="28"/>
          <w:szCs w:val="28"/>
        </w:rPr>
        <w:t>Зачепилівкої</w:t>
      </w:r>
      <w:proofErr w:type="spellEnd"/>
      <w:r w:rsidR="005C4E44">
        <w:rPr>
          <w:sz w:val="28"/>
          <w:szCs w:val="28"/>
        </w:rPr>
        <w:t xml:space="preserve"> територіальної громади</w:t>
      </w:r>
      <w:r w:rsidR="00BA7FC2" w:rsidRPr="008449F8">
        <w:rPr>
          <w:sz w:val="28"/>
          <w:szCs w:val="28"/>
        </w:rPr>
        <w:t xml:space="preserve"> та пропозицій з </w:t>
      </w:r>
      <w:r w:rsidR="00506D6A" w:rsidRPr="008449F8">
        <w:rPr>
          <w:sz w:val="28"/>
          <w:szCs w:val="28"/>
        </w:rPr>
        <w:t>питань застосування Правил</w:t>
      </w:r>
      <w:r w:rsidR="00BA7FC2" w:rsidRPr="008449F8">
        <w:rPr>
          <w:sz w:val="28"/>
          <w:szCs w:val="28"/>
        </w:rPr>
        <w:t xml:space="preserve"> –</w:t>
      </w:r>
      <w:r w:rsidR="004F6006">
        <w:rPr>
          <w:sz w:val="28"/>
          <w:szCs w:val="28"/>
        </w:rPr>
        <w:t xml:space="preserve"> скарги та пропозиції  відсутні;</w:t>
      </w:r>
    </w:p>
    <w:p w:rsidR="00BA7FC2" w:rsidRPr="008449F8" w:rsidRDefault="00D74000" w:rsidP="00C1179F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к</w:t>
      </w:r>
      <w:r w:rsidR="00BA7FC2" w:rsidRPr="008449F8">
        <w:rPr>
          <w:sz w:val="28"/>
          <w:szCs w:val="28"/>
        </w:rPr>
        <w:t xml:space="preserve">ількість звернень мешканців з наріканнями на якість чи недостатність регулювання </w:t>
      </w:r>
      <w:r w:rsidR="00875F27">
        <w:rPr>
          <w:sz w:val="28"/>
          <w:szCs w:val="28"/>
          <w:lang w:val="ru-RU"/>
        </w:rPr>
        <w:t xml:space="preserve"> – </w:t>
      </w:r>
      <w:proofErr w:type="spellStart"/>
      <w:r w:rsidR="00875F27">
        <w:rPr>
          <w:sz w:val="28"/>
          <w:szCs w:val="28"/>
          <w:lang w:val="ru-RU"/>
        </w:rPr>
        <w:t>звернення</w:t>
      </w:r>
      <w:proofErr w:type="spellEnd"/>
      <w:r w:rsidR="00875F27">
        <w:rPr>
          <w:sz w:val="28"/>
          <w:szCs w:val="28"/>
          <w:lang w:val="ru-RU"/>
        </w:rPr>
        <w:t xml:space="preserve"> </w:t>
      </w:r>
      <w:proofErr w:type="spellStart"/>
      <w:r w:rsidR="00875F27">
        <w:rPr>
          <w:sz w:val="28"/>
          <w:szCs w:val="28"/>
          <w:lang w:val="ru-RU"/>
        </w:rPr>
        <w:t>відсутні</w:t>
      </w:r>
      <w:proofErr w:type="spellEnd"/>
      <w:r w:rsidR="00875F27">
        <w:rPr>
          <w:sz w:val="28"/>
          <w:szCs w:val="28"/>
          <w:lang w:val="ru-RU"/>
        </w:rPr>
        <w:t>;</w:t>
      </w:r>
    </w:p>
    <w:p w:rsidR="00BA7FC2" w:rsidRPr="008449F8" w:rsidRDefault="00875F27" w:rsidP="00C11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</w:t>
      </w:r>
      <w:r w:rsidR="0046070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BA7FC2" w:rsidRPr="008449F8">
        <w:rPr>
          <w:sz w:val="28"/>
          <w:szCs w:val="28"/>
        </w:rPr>
        <w:t>опит</w:t>
      </w:r>
      <w:r w:rsidR="00506D6A" w:rsidRPr="008449F8">
        <w:rPr>
          <w:sz w:val="28"/>
          <w:szCs w:val="28"/>
        </w:rPr>
        <w:t xml:space="preserve"> на застосування Правил присутній постійно. Ф</w:t>
      </w:r>
      <w:r w:rsidR="00BA7FC2" w:rsidRPr="008449F8">
        <w:rPr>
          <w:sz w:val="28"/>
          <w:szCs w:val="28"/>
        </w:rPr>
        <w:t>ормується</w:t>
      </w:r>
      <w:r w:rsidR="00506D6A" w:rsidRPr="008449F8">
        <w:rPr>
          <w:sz w:val="28"/>
          <w:szCs w:val="28"/>
        </w:rPr>
        <w:t>, з одного боку</w:t>
      </w:r>
      <w:r w:rsidR="00BA7FC2" w:rsidRPr="008449F8">
        <w:rPr>
          <w:sz w:val="28"/>
          <w:szCs w:val="28"/>
        </w:rPr>
        <w:t xml:space="preserve"> відповідно до актив</w:t>
      </w:r>
      <w:r w:rsidR="00506D6A" w:rsidRPr="008449F8">
        <w:rPr>
          <w:sz w:val="28"/>
          <w:szCs w:val="28"/>
        </w:rPr>
        <w:t>ності фізичних та юридичних осіб щодо впорядкування</w:t>
      </w:r>
      <w:r w:rsidR="00121A16" w:rsidRPr="008449F8">
        <w:rPr>
          <w:sz w:val="28"/>
          <w:szCs w:val="28"/>
        </w:rPr>
        <w:t xml:space="preserve"> власних та </w:t>
      </w:r>
      <w:r w:rsidR="005C4E44">
        <w:rPr>
          <w:sz w:val="28"/>
          <w:szCs w:val="28"/>
        </w:rPr>
        <w:t xml:space="preserve">сільських </w:t>
      </w:r>
      <w:r w:rsidR="00506D6A" w:rsidRPr="008449F8">
        <w:rPr>
          <w:sz w:val="28"/>
          <w:szCs w:val="28"/>
        </w:rPr>
        <w:t>територій, з іншого – у зв’язку з діями або бездіяльністю суб’єктів благоустрою, які порушують Правила і повинні нести за це відповідальність</w:t>
      </w:r>
      <w:r w:rsidR="004F6006">
        <w:rPr>
          <w:sz w:val="28"/>
          <w:szCs w:val="28"/>
        </w:rPr>
        <w:t>;</w:t>
      </w:r>
    </w:p>
    <w:p w:rsidR="00BA7FC2" w:rsidRPr="008449F8" w:rsidRDefault="006149EE" w:rsidP="00C11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 з</w:t>
      </w:r>
      <w:r w:rsidR="00BA7FC2" w:rsidRPr="008449F8">
        <w:rPr>
          <w:sz w:val="28"/>
          <w:szCs w:val="28"/>
        </w:rPr>
        <w:t xml:space="preserve">вернення або пропозиції  </w:t>
      </w:r>
      <w:r w:rsidR="00506D6A" w:rsidRPr="008449F8">
        <w:rPr>
          <w:sz w:val="28"/>
          <w:szCs w:val="28"/>
        </w:rPr>
        <w:t xml:space="preserve">щодо внесення змін до </w:t>
      </w:r>
      <w:proofErr w:type="spellStart"/>
      <w:r w:rsidR="00506D6A" w:rsidRPr="008449F8">
        <w:rPr>
          <w:sz w:val="28"/>
          <w:szCs w:val="28"/>
        </w:rPr>
        <w:t>про</w:t>
      </w:r>
      <w:r w:rsidR="005C4E44">
        <w:rPr>
          <w:sz w:val="28"/>
          <w:szCs w:val="28"/>
        </w:rPr>
        <w:t>є</w:t>
      </w:r>
      <w:r w:rsidR="00506D6A" w:rsidRPr="008449F8">
        <w:rPr>
          <w:sz w:val="28"/>
          <w:szCs w:val="28"/>
        </w:rPr>
        <w:t>кту</w:t>
      </w:r>
      <w:proofErr w:type="spellEnd"/>
      <w:r w:rsidR="00506D6A" w:rsidRPr="008449F8">
        <w:rPr>
          <w:sz w:val="28"/>
          <w:szCs w:val="28"/>
        </w:rPr>
        <w:t xml:space="preserve"> Правил у новій редакції</w:t>
      </w:r>
      <w:r w:rsidR="00BA7FC2" w:rsidRPr="008449F8">
        <w:rPr>
          <w:sz w:val="28"/>
          <w:szCs w:val="28"/>
        </w:rPr>
        <w:t xml:space="preserve"> </w:t>
      </w:r>
      <w:r w:rsidR="002121F7">
        <w:rPr>
          <w:sz w:val="28"/>
          <w:szCs w:val="28"/>
        </w:rPr>
        <w:t>– відсутні;</w:t>
      </w:r>
    </w:p>
    <w:p w:rsidR="00BA7FC2" w:rsidRPr="008449F8" w:rsidRDefault="006149EE" w:rsidP="00C117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к</w:t>
      </w:r>
      <w:r w:rsidR="00BA7FC2" w:rsidRPr="008449F8">
        <w:rPr>
          <w:sz w:val="28"/>
          <w:szCs w:val="28"/>
        </w:rPr>
        <w:t>ількість спірних питань, які виникали між суб’єктами господарської діяльності</w:t>
      </w:r>
      <w:r w:rsidR="00506D6A" w:rsidRPr="008449F8">
        <w:rPr>
          <w:sz w:val="28"/>
          <w:szCs w:val="28"/>
        </w:rPr>
        <w:t xml:space="preserve"> чи жителями </w:t>
      </w:r>
      <w:proofErr w:type="spellStart"/>
      <w:r w:rsidR="005C4E44">
        <w:rPr>
          <w:sz w:val="28"/>
          <w:szCs w:val="28"/>
        </w:rPr>
        <w:t>Зачепилівської</w:t>
      </w:r>
      <w:proofErr w:type="spellEnd"/>
      <w:r w:rsidR="005C4E44">
        <w:rPr>
          <w:sz w:val="28"/>
          <w:szCs w:val="28"/>
        </w:rPr>
        <w:t xml:space="preserve"> ТГ </w:t>
      </w:r>
      <w:r w:rsidR="00BA7FC2" w:rsidRPr="008449F8">
        <w:rPr>
          <w:sz w:val="28"/>
          <w:szCs w:val="28"/>
        </w:rPr>
        <w:t xml:space="preserve">та </w:t>
      </w:r>
      <w:proofErr w:type="spellStart"/>
      <w:r w:rsidR="005C4E44">
        <w:rPr>
          <w:sz w:val="28"/>
          <w:szCs w:val="28"/>
        </w:rPr>
        <w:t>Зачепилівською</w:t>
      </w:r>
      <w:proofErr w:type="spellEnd"/>
      <w:r w:rsidR="005C4E44">
        <w:rPr>
          <w:sz w:val="28"/>
          <w:szCs w:val="28"/>
        </w:rPr>
        <w:t xml:space="preserve"> селищною</w:t>
      </w:r>
      <w:r w:rsidR="005C4E44" w:rsidRPr="00477B86">
        <w:rPr>
          <w:sz w:val="28"/>
          <w:szCs w:val="28"/>
        </w:rPr>
        <w:t xml:space="preserve"> </w:t>
      </w:r>
      <w:r w:rsidR="00BA7FC2" w:rsidRPr="008449F8">
        <w:rPr>
          <w:sz w:val="28"/>
          <w:szCs w:val="28"/>
        </w:rPr>
        <w:t>радою</w:t>
      </w:r>
      <w:r w:rsidR="00506D6A" w:rsidRPr="008449F8">
        <w:rPr>
          <w:sz w:val="28"/>
          <w:szCs w:val="28"/>
        </w:rPr>
        <w:t xml:space="preserve"> чи Виконавчим комітетом </w:t>
      </w:r>
      <w:proofErr w:type="spellStart"/>
      <w:r w:rsidR="005C4E44">
        <w:rPr>
          <w:sz w:val="28"/>
          <w:szCs w:val="28"/>
        </w:rPr>
        <w:t>Зачепилівської</w:t>
      </w:r>
      <w:proofErr w:type="spellEnd"/>
      <w:r w:rsidR="005C4E44">
        <w:rPr>
          <w:sz w:val="28"/>
          <w:szCs w:val="28"/>
        </w:rPr>
        <w:t xml:space="preserve"> селищної</w:t>
      </w:r>
      <w:r w:rsidR="005C4E44" w:rsidRPr="00477B86">
        <w:rPr>
          <w:sz w:val="28"/>
          <w:szCs w:val="28"/>
        </w:rPr>
        <w:t xml:space="preserve"> </w:t>
      </w:r>
      <w:r w:rsidR="00506D6A" w:rsidRPr="008449F8">
        <w:rPr>
          <w:sz w:val="28"/>
          <w:szCs w:val="28"/>
        </w:rPr>
        <w:t xml:space="preserve">ради </w:t>
      </w:r>
      <w:proofErr w:type="spellStart"/>
      <w:r w:rsidR="005C4E44">
        <w:rPr>
          <w:sz w:val="28"/>
          <w:szCs w:val="28"/>
        </w:rPr>
        <w:t>Красноградського</w:t>
      </w:r>
      <w:proofErr w:type="spellEnd"/>
      <w:r w:rsidR="005C4E44">
        <w:rPr>
          <w:sz w:val="28"/>
          <w:szCs w:val="28"/>
        </w:rPr>
        <w:t xml:space="preserve"> району, Харківської</w:t>
      </w:r>
      <w:r w:rsidR="00506D6A" w:rsidRPr="008449F8">
        <w:rPr>
          <w:sz w:val="28"/>
          <w:szCs w:val="28"/>
        </w:rPr>
        <w:t xml:space="preserve"> області</w:t>
      </w:r>
      <w:r w:rsidR="00BA7FC2" w:rsidRPr="008449F8">
        <w:rPr>
          <w:sz w:val="28"/>
          <w:szCs w:val="28"/>
        </w:rPr>
        <w:t xml:space="preserve"> щодо прийняття регуляторного акту. Спірні питання</w:t>
      </w:r>
      <w:r w:rsidR="002121F7">
        <w:rPr>
          <w:sz w:val="28"/>
          <w:szCs w:val="28"/>
        </w:rPr>
        <w:t xml:space="preserve"> – відсутні;</w:t>
      </w:r>
    </w:p>
    <w:p w:rsidR="00BA7FC2" w:rsidRPr="008449F8" w:rsidRDefault="006149EE" w:rsidP="00C11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</w:t>
      </w:r>
      <w:r w:rsidR="00BA7FC2" w:rsidRPr="008449F8">
        <w:rPr>
          <w:sz w:val="28"/>
          <w:szCs w:val="28"/>
        </w:rPr>
        <w:t>тупінь поінформованості суб’єктів господарювання стосовно існ</w:t>
      </w:r>
      <w:r w:rsidR="00C36CC1">
        <w:rPr>
          <w:sz w:val="28"/>
          <w:szCs w:val="28"/>
        </w:rPr>
        <w:t>ування даного регуляторного акта</w:t>
      </w:r>
      <w:r w:rsidR="00BA7FC2" w:rsidRPr="008449F8">
        <w:rPr>
          <w:sz w:val="28"/>
          <w:szCs w:val="28"/>
        </w:rPr>
        <w:t xml:space="preserve">. Інформування здійснювалось шляхом опублікування на </w:t>
      </w:r>
      <w:proofErr w:type="spellStart"/>
      <w:r w:rsidR="00BA7FC2" w:rsidRPr="008449F8">
        <w:rPr>
          <w:sz w:val="28"/>
          <w:szCs w:val="28"/>
        </w:rPr>
        <w:t>веб-сайті</w:t>
      </w:r>
      <w:proofErr w:type="spellEnd"/>
      <w:r w:rsidR="00BA7FC2" w:rsidRPr="008449F8">
        <w:rPr>
          <w:sz w:val="28"/>
          <w:szCs w:val="28"/>
        </w:rPr>
        <w:t xml:space="preserve"> </w:t>
      </w:r>
      <w:proofErr w:type="spellStart"/>
      <w:r w:rsidR="005C4E44">
        <w:rPr>
          <w:sz w:val="28"/>
          <w:szCs w:val="28"/>
        </w:rPr>
        <w:t>Зачепилівської</w:t>
      </w:r>
      <w:proofErr w:type="spellEnd"/>
      <w:r w:rsidR="005C4E44">
        <w:rPr>
          <w:sz w:val="28"/>
          <w:szCs w:val="28"/>
        </w:rPr>
        <w:t xml:space="preserve"> селищної</w:t>
      </w:r>
      <w:r w:rsidR="005C4E44" w:rsidRPr="00477B86">
        <w:rPr>
          <w:sz w:val="28"/>
          <w:szCs w:val="28"/>
        </w:rPr>
        <w:t xml:space="preserve"> </w:t>
      </w:r>
      <w:r w:rsidR="00BA7FC2" w:rsidRPr="008449F8">
        <w:rPr>
          <w:sz w:val="28"/>
          <w:szCs w:val="28"/>
        </w:rPr>
        <w:t>ради.</w:t>
      </w:r>
    </w:p>
    <w:p w:rsidR="00306A03" w:rsidRPr="00D1494C" w:rsidRDefault="00306A03" w:rsidP="00BA7FC2">
      <w:pPr>
        <w:rPr>
          <w:sz w:val="16"/>
          <w:szCs w:val="16"/>
        </w:rPr>
      </w:pPr>
    </w:p>
    <w:p w:rsidR="00D5593F" w:rsidRDefault="00C34926" w:rsidP="00D5593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5593F">
        <w:rPr>
          <w:b/>
          <w:sz w:val="28"/>
          <w:szCs w:val="28"/>
        </w:rPr>
        <w:t>.Оцінка результатів реалізації регуляторного акта та ступеня досягнення визначених цілей</w:t>
      </w:r>
    </w:p>
    <w:p w:rsidR="00306A03" w:rsidRPr="00C34926" w:rsidRDefault="001E6EC9" w:rsidP="00306A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Прийняття регуляторного акта</w:t>
      </w:r>
      <w:r w:rsidR="00306A03" w:rsidRPr="00C34926">
        <w:rPr>
          <w:sz w:val="28"/>
          <w:szCs w:val="28"/>
        </w:rPr>
        <w:t xml:space="preserve"> </w:t>
      </w:r>
      <w:r w:rsidR="006F0C18" w:rsidRPr="00477B86">
        <w:rPr>
          <w:sz w:val="28"/>
          <w:szCs w:val="28"/>
        </w:rPr>
        <w:t>«Про</w:t>
      </w:r>
      <w:r w:rsidR="006F0C18" w:rsidRPr="008449F8">
        <w:rPr>
          <w:sz w:val="28"/>
          <w:szCs w:val="28"/>
        </w:rPr>
        <w:t xml:space="preserve"> </w:t>
      </w:r>
      <w:r w:rsidR="006F0C18">
        <w:rPr>
          <w:sz w:val="28"/>
          <w:szCs w:val="28"/>
        </w:rPr>
        <w:t>затвердження</w:t>
      </w:r>
      <w:r w:rsidR="006F0C18" w:rsidRPr="008449F8">
        <w:rPr>
          <w:sz w:val="28"/>
          <w:szCs w:val="28"/>
        </w:rPr>
        <w:t xml:space="preserve">  </w:t>
      </w:r>
      <w:r w:rsidR="006F0C18" w:rsidRPr="001C3C08">
        <w:rPr>
          <w:sz w:val="28"/>
          <w:szCs w:val="28"/>
        </w:rPr>
        <w:t xml:space="preserve">Правил благоустрою населених пунктів </w:t>
      </w:r>
      <w:proofErr w:type="spellStart"/>
      <w:r w:rsidR="006F0C18">
        <w:rPr>
          <w:sz w:val="28"/>
          <w:szCs w:val="28"/>
        </w:rPr>
        <w:t>Зачепилівської</w:t>
      </w:r>
      <w:proofErr w:type="spellEnd"/>
      <w:r w:rsidR="006F0C18">
        <w:rPr>
          <w:sz w:val="28"/>
          <w:szCs w:val="28"/>
        </w:rPr>
        <w:t xml:space="preserve"> селищної</w:t>
      </w:r>
      <w:r w:rsidR="006F0C18" w:rsidRPr="00477B86">
        <w:rPr>
          <w:sz w:val="28"/>
          <w:szCs w:val="28"/>
        </w:rPr>
        <w:t xml:space="preserve"> </w:t>
      </w:r>
      <w:r w:rsidR="006F0C18" w:rsidRPr="001C3C08">
        <w:rPr>
          <w:sz w:val="28"/>
          <w:szCs w:val="28"/>
        </w:rPr>
        <w:t>ради</w:t>
      </w:r>
      <w:r w:rsidR="006F0C18">
        <w:rPr>
          <w:sz w:val="28"/>
          <w:szCs w:val="28"/>
        </w:rPr>
        <w:t xml:space="preserve">» </w:t>
      </w:r>
      <w:r>
        <w:rPr>
          <w:sz w:val="28"/>
          <w:szCs w:val="28"/>
        </w:rPr>
        <w:t>надасть можливість</w:t>
      </w:r>
      <w:r w:rsidR="003F7280">
        <w:rPr>
          <w:sz w:val="28"/>
          <w:szCs w:val="28"/>
        </w:rPr>
        <w:t>:</w:t>
      </w:r>
      <w:r>
        <w:rPr>
          <w:sz w:val="28"/>
          <w:szCs w:val="28"/>
        </w:rPr>
        <w:t xml:space="preserve"> встановити</w:t>
      </w:r>
      <w:r w:rsidR="00306A03" w:rsidRPr="00C34926">
        <w:rPr>
          <w:sz w:val="28"/>
          <w:szCs w:val="28"/>
        </w:rPr>
        <w:t xml:space="preserve"> чіткі права і обов’язки суб’єктів благоустрою, а також заборони здійсню</w:t>
      </w:r>
      <w:r w:rsidR="003F7280">
        <w:rPr>
          <w:sz w:val="28"/>
          <w:szCs w:val="28"/>
        </w:rPr>
        <w:t xml:space="preserve">вати певні дії на території </w:t>
      </w:r>
      <w:r w:rsidR="006F0C18">
        <w:rPr>
          <w:sz w:val="28"/>
          <w:szCs w:val="28"/>
        </w:rPr>
        <w:t>територіальної громади</w:t>
      </w:r>
      <w:r w:rsidR="003F7280">
        <w:rPr>
          <w:sz w:val="28"/>
          <w:szCs w:val="28"/>
        </w:rPr>
        <w:t>;</w:t>
      </w:r>
      <w:r w:rsidR="003F7280" w:rsidRPr="003F7280">
        <w:rPr>
          <w:sz w:val="28"/>
          <w:szCs w:val="28"/>
        </w:rPr>
        <w:t xml:space="preserve"> </w:t>
      </w:r>
      <w:r w:rsidR="003F7280" w:rsidRPr="008449F8">
        <w:rPr>
          <w:sz w:val="28"/>
          <w:szCs w:val="28"/>
        </w:rPr>
        <w:t>поповн</w:t>
      </w:r>
      <w:r w:rsidR="003F7280">
        <w:rPr>
          <w:sz w:val="28"/>
          <w:szCs w:val="28"/>
        </w:rPr>
        <w:t>ити</w:t>
      </w:r>
      <w:r w:rsidR="003F7280" w:rsidRPr="008449F8">
        <w:rPr>
          <w:sz w:val="28"/>
          <w:szCs w:val="28"/>
        </w:rPr>
        <w:t xml:space="preserve"> </w:t>
      </w:r>
      <w:r w:rsidR="003F7280" w:rsidRPr="006F0C18">
        <w:rPr>
          <w:sz w:val="28"/>
          <w:szCs w:val="28"/>
        </w:rPr>
        <w:t>міс</w:t>
      </w:r>
      <w:r w:rsidR="006F0C18">
        <w:rPr>
          <w:sz w:val="28"/>
          <w:szCs w:val="28"/>
        </w:rPr>
        <w:t>цевий</w:t>
      </w:r>
      <w:r w:rsidR="003F7280" w:rsidRPr="006F0C18">
        <w:rPr>
          <w:sz w:val="28"/>
          <w:szCs w:val="28"/>
        </w:rPr>
        <w:t xml:space="preserve"> </w:t>
      </w:r>
      <w:r w:rsidR="003F7280">
        <w:rPr>
          <w:sz w:val="28"/>
          <w:szCs w:val="28"/>
        </w:rPr>
        <w:t>бюджет</w:t>
      </w:r>
      <w:r w:rsidR="003F7280" w:rsidRPr="008449F8">
        <w:rPr>
          <w:sz w:val="28"/>
          <w:szCs w:val="28"/>
        </w:rPr>
        <w:t xml:space="preserve"> за рахунок штрафів, що сплачують громадяни за невиконання Правил благоустрою населених пунктів </w:t>
      </w:r>
      <w:proofErr w:type="spellStart"/>
      <w:r w:rsidR="008917B5">
        <w:rPr>
          <w:sz w:val="28"/>
          <w:szCs w:val="28"/>
        </w:rPr>
        <w:t>Зачепилівської</w:t>
      </w:r>
      <w:proofErr w:type="spellEnd"/>
      <w:r w:rsidR="008917B5">
        <w:rPr>
          <w:sz w:val="28"/>
          <w:szCs w:val="28"/>
        </w:rPr>
        <w:t xml:space="preserve"> територіальної</w:t>
      </w:r>
      <w:r w:rsidR="003F7280" w:rsidRPr="008449F8">
        <w:rPr>
          <w:sz w:val="28"/>
          <w:szCs w:val="28"/>
        </w:rPr>
        <w:t xml:space="preserve"> громади</w:t>
      </w:r>
      <w:r w:rsidR="003F7280">
        <w:rPr>
          <w:sz w:val="28"/>
          <w:szCs w:val="28"/>
        </w:rPr>
        <w:t xml:space="preserve"> та</w:t>
      </w:r>
      <w:r w:rsidR="003F7280" w:rsidRPr="003F7280">
        <w:rPr>
          <w:sz w:val="28"/>
          <w:szCs w:val="28"/>
        </w:rPr>
        <w:t xml:space="preserve"> </w:t>
      </w:r>
      <w:r w:rsidR="003F7280" w:rsidRPr="008449F8">
        <w:rPr>
          <w:sz w:val="28"/>
          <w:szCs w:val="28"/>
        </w:rPr>
        <w:t>детально урегулю</w:t>
      </w:r>
      <w:r w:rsidR="003F7280">
        <w:rPr>
          <w:sz w:val="28"/>
          <w:szCs w:val="28"/>
        </w:rPr>
        <w:t>є</w:t>
      </w:r>
      <w:r w:rsidR="003F7280" w:rsidRPr="008449F8">
        <w:rPr>
          <w:sz w:val="28"/>
          <w:szCs w:val="28"/>
        </w:rPr>
        <w:t xml:space="preserve"> відносини у сфері правил поведінки суб’єктів благоустрою, вимог до створення</w:t>
      </w:r>
      <w:r w:rsidR="003F7280">
        <w:rPr>
          <w:sz w:val="28"/>
          <w:szCs w:val="28"/>
        </w:rPr>
        <w:t xml:space="preserve"> </w:t>
      </w:r>
      <w:r w:rsidR="003F7280" w:rsidRPr="008449F8">
        <w:rPr>
          <w:sz w:val="28"/>
          <w:szCs w:val="28"/>
        </w:rPr>
        <w:t>(будівництва) об’єктів благоустрою  та поводження з ними</w:t>
      </w:r>
      <w:r w:rsidR="003F7280">
        <w:rPr>
          <w:sz w:val="28"/>
          <w:szCs w:val="28"/>
        </w:rPr>
        <w:t>.</w:t>
      </w:r>
    </w:p>
    <w:p w:rsidR="00D5593F" w:rsidRPr="00C34926" w:rsidRDefault="001E6EC9" w:rsidP="001E6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Правила  впливатимуть</w:t>
      </w:r>
      <w:r w:rsidR="00306A03" w:rsidRPr="00C34926">
        <w:rPr>
          <w:sz w:val="28"/>
          <w:szCs w:val="28"/>
        </w:rPr>
        <w:t xml:space="preserve"> на продуктивність та конкурентоспроможність суб’єктів господарювання, на активізацію господарських зв’язків.</w:t>
      </w:r>
    </w:p>
    <w:p w:rsidR="007315A9" w:rsidRDefault="0060095A" w:rsidP="0073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15A9" w:rsidRPr="006572AB">
        <w:rPr>
          <w:sz w:val="28"/>
          <w:szCs w:val="28"/>
        </w:rPr>
        <w:t xml:space="preserve">Повторне відстеження буде здійснене впродовж 2 років з дня набрання чинності регуляторного акта. </w:t>
      </w:r>
    </w:p>
    <w:p w:rsidR="007315A9" w:rsidRDefault="007315A9" w:rsidP="007315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09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7280">
        <w:rPr>
          <w:sz w:val="28"/>
          <w:szCs w:val="28"/>
        </w:rPr>
        <w:t xml:space="preserve"> </w:t>
      </w:r>
      <w:r w:rsidR="0060095A">
        <w:rPr>
          <w:sz w:val="28"/>
          <w:szCs w:val="28"/>
        </w:rPr>
        <w:t>Періодичні</w:t>
      </w:r>
      <w:r w:rsidRPr="006572AB">
        <w:rPr>
          <w:sz w:val="28"/>
          <w:szCs w:val="28"/>
        </w:rPr>
        <w:t xml:space="preserve"> відстеження будуть здійснюватись раз на кожні три роки, починаючи з дня закінчення заходів з повторного відстеження результативності цього акта. </w:t>
      </w:r>
    </w:p>
    <w:p w:rsidR="00306A03" w:rsidRDefault="00306A03" w:rsidP="00BA7FC2">
      <w:pPr>
        <w:rPr>
          <w:sz w:val="28"/>
          <w:szCs w:val="28"/>
        </w:rPr>
      </w:pPr>
    </w:p>
    <w:p w:rsidR="008917B5" w:rsidRDefault="008917B5" w:rsidP="00BA7FC2">
      <w:pPr>
        <w:rPr>
          <w:sz w:val="28"/>
          <w:szCs w:val="28"/>
        </w:rPr>
      </w:pPr>
    </w:p>
    <w:p w:rsidR="008917B5" w:rsidRDefault="008917B5" w:rsidP="00BA7FC2">
      <w:pPr>
        <w:rPr>
          <w:sz w:val="28"/>
          <w:szCs w:val="28"/>
        </w:rPr>
      </w:pPr>
    </w:p>
    <w:p w:rsidR="008917B5" w:rsidRDefault="008917B5" w:rsidP="00BA7FC2">
      <w:pPr>
        <w:rPr>
          <w:sz w:val="28"/>
          <w:szCs w:val="28"/>
        </w:rPr>
      </w:pPr>
    </w:p>
    <w:p w:rsidR="008917B5" w:rsidRPr="00C950F4" w:rsidRDefault="008917B5" w:rsidP="008917B5">
      <w:pPr>
        <w:jc w:val="both"/>
        <w:textAlignment w:val="baseline"/>
        <w:rPr>
          <w:sz w:val="28"/>
          <w:szCs w:val="28"/>
        </w:rPr>
      </w:pPr>
      <w:r w:rsidRPr="00C950F4">
        <w:rPr>
          <w:sz w:val="28"/>
          <w:szCs w:val="28"/>
        </w:rPr>
        <w:t xml:space="preserve">Начальник відділу </w:t>
      </w:r>
    </w:p>
    <w:p w:rsidR="008917B5" w:rsidRPr="00C950F4" w:rsidRDefault="008917B5" w:rsidP="008917B5">
      <w:pPr>
        <w:jc w:val="both"/>
        <w:textAlignment w:val="baseline"/>
        <w:rPr>
          <w:sz w:val="28"/>
          <w:szCs w:val="28"/>
        </w:rPr>
      </w:pPr>
      <w:r w:rsidRPr="00C950F4">
        <w:rPr>
          <w:sz w:val="28"/>
          <w:szCs w:val="28"/>
        </w:rPr>
        <w:t xml:space="preserve">містобудування, архітектури та </w:t>
      </w:r>
    </w:p>
    <w:p w:rsidR="008917B5" w:rsidRPr="00C950F4" w:rsidRDefault="008917B5" w:rsidP="008917B5">
      <w:pPr>
        <w:jc w:val="both"/>
        <w:textAlignment w:val="baseline"/>
        <w:rPr>
          <w:rFonts w:ascii="ProbaPro" w:hAnsi="ProbaPro"/>
          <w:color w:val="000000"/>
          <w:sz w:val="28"/>
          <w:szCs w:val="28"/>
          <w:lang w:eastAsia="ru-RU"/>
        </w:rPr>
      </w:pPr>
      <w:r w:rsidRPr="00C950F4">
        <w:rPr>
          <w:sz w:val="28"/>
          <w:szCs w:val="28"/>
        </w:rPr>
        <w:t>житлово-комунального господарства</w:t>
      </w:r>
      <w:r w:rsidRPr="00C950F4">
        <w:rPr>
          <w:rFonts w:ascii="ProbaPro" w:hAnsi="ProbaPro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C950F4">
        <w:rPr>
          <w:rFonts w:ascii="ProbaPro" w:hAnsi="ProbaPro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ProbaPro" w:hAnsi="ProbaPro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C950F4">
        <w:rPr>
          <w:rFonts w:ascii="ProbaPro" w:hAnsi="ProbaPro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Володимир ШВЕЦОВ</w:t>
      </w:r>
    </w:p>
    <w:p w:rsidR="00F54CDB" w:rsidRPr="00CA70BB" w:rsidRDefault="00A40CB5"/>
    <w:sectPr w:rsidR="00F54CDB" w:rsidRPr="00CA70BB" w:rsidSect="005C4E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32A32"/>
    <w:multiLevelType w:val="hybridMultilevel"/>
    <w:tmpl w:val="F7C84AD6"/>
    <w:lvl w:ilvl="0" w:tplc="1CB6CC30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543781D"/>
    <w:multiLevelType w:val="hybridMultilevel"/>
    <w:tmpl w:val="B268D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D62748"/>
    <w:multiLevelType w:val="hybridMultilevel"/>
    <w:tmpl w:val="B268D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FC2"/>
    <w:rsid w:val="00027042"/>
    <w:rsid w:val="000B74F2"/>
    <w:rsid w:val="000B7FA9"/>
    <w:rsid w:val="000D5912"/>
    <w:rsid w:val="0011491F"/>
    <w:rsid w:val="00121A16"/>
    <w:rsid w:val="001A0A83"/>
    <w:rsid w:val="001A31BD"/>
    <w:rsid w:val="001B2684"/>
    <w:rsid w:val="001C3C08"/>
    <w:rsid w:val="001E6EC9"/>
    <w:rsid w:val="002121F7"/>
    <w:rsid w:val="0024585D"/>
    <w:rsid w:val="002D5BA9"/>
    <w:rsid w:val="00306A03"/>
    <w:rsid w:val="00350918"/>
    <w:rsid w:val="003944D4"/>
    <w:rsid w:val="003972CB"/>
    <w:rsid w:val="003B7254"/>
    <w:rsid w:val="003F43F9"/>
    <w:rsid w:val="003F7280"/>
    <w:rsid w:val="00445656"/>
    <w:rsid w:val="00460701"/>
    <w:rsid w:val="00477B86"/>
    <w:rsid w:val="004A3053"/>
    <w:rsid w:val="004F6006"/>
    <w:rsid w:val="00506D6A"/>
    <w:rsid w:val="00523143"/>
    <w:rsid w:val="00543676"/>
    <w:rsid w:val="005A6D16"/>
    <w:rsid w:val="005C4E44"/>
    <w:rsid w:val="0060095A"/>
    <w:rsid w:val="006149EE"/>
    <w:rsid w:val="0063231D"/>
    <w:rsid w:val="006764B2"/>
    <w:rsid w:val="006C4651"/>
    <w:rsid w:val="006D2009"/>
    <w:rsid w:val="006F0C18"/>
    <w:rsid w:val="007169E1"/>
    <w:rsid w:val="007315A9"/>
    <w:rsid w:val="007B2ED2"/>
    <w:rsid w:val="00822BEC"/>
    <w:rsid w:val="0082783E"/>
    <w:rsid w:val="008449F8"/>
    <w:rsid w:val="008641E3"/>
    <w:rsid w:val="00875F27"/>
    <w:rsid w:val="008917B5"/>
    <w:rsid w:val="008A0E2D"/>
    <w:rsid w:val="008D5DF8"/>
    <w:rsid w:val="00912AA7"/>
    <w:rsid w:val="00914A04"/>
    <w:rsid w:val="00A40CB5"/>
    <w:rsid w:val="00AD284F"/>
    <w:rsid w:val="00B70F66"/>
    <w:rsid w:val="00B94BB7"/>
    <w:rsid w:val="00BA7FC2"/>
    <w:rsid w:val="00BE5A9B"/>
    <w:rsid w:val="00BF452D"/>
    <w:rsid w:val="00C1179F"/>
    <w:rsid w:val="00C227AE"/>
    <w:rsid w:val="00C34926"/>
    <w:rsid w:val="00C36CC1"/>
    <w:rsid w:val="00C81BA4"/>
    <w:rsid w:val="00CA70BB"/>
    <w:rsid w:val="00D1494C"/>
    <w:rsid w:val="00D5593F"/>
    <w:rsid w:val="00D74000"/>
    <w:rsid w:val="00DA49CE"/>
    <w:rsid w:val="00E305F5"/>
    <w:rsid w:val="00E964FB"/>
    <w:rsid w:val="00E967C4"/>
    <w:rsid w:val="00EA5175"/>
    <w:rsid w:val="00EE5034"/>
    <w:rsid w:val="00F15CB3"/>
    <w:rsid w:val="00FB06A3"/>
    <w:rsid w:val="00FC782F"/>
    <w:rsid w:val="00FD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FC2"/>
    <w:pPr>
      <w:ind w:left="720"/>
      <w:contextualSpacing/>
    </w:pPr>
    <w:rPr>
      <w:lang w:eastAsia="ru-RU"/>
    </w:rPr>
  </w:style>
  <w:style w:type="paragraph" w:customStyle="1" w:styleId="a4">
    <w:name w:val="Нормальний текст"/>
    <w:basedOn w:val="a"/>
    <w:rsid w:val="00BA7FC2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semiHidden/>
    <w:rsid w:val="0082783E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character" w:styleId="a6">
    <w:name w:val="Strong"/>
    <w:basedOn w:val="a0"/>
    <w:uiPriority w:val="22"/>
    <w:qFormat/>
    <w:rsid w:val="006C465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764B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64B2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6</cp:revision>
  <cp:lastPrinted>2020-04-10T07:47:00Z</cp:lastPrinted>
  <dcterms:created xsi:type="dcterms:W3CDTF">2021-07-08T08:15:00Z</dcterms:created>
  <dcterms:modified xsi:type="dcterms:W3CDTF">2021-07-08T11:00:00Z</dcterms:modified>
</cp:coreProperties>
</file>