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BB2" w:rsidRDefault="00424440" w:rsidP="00362B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застосування розрахункових книжок та видачу квитків при перевезенні пасажирів платниками єдиного податку.</w:t>
      </w:r>
      <w:bookmarkStart w:id="0" w:name="_GoBack"/>
      <w:bookmarkEnd w:id="0"/>
    </w:p>
    <w:p w:rsidR="009B58F7" w:rsidRPr="00362BB2" w:rsidRDefault="00362BB2" w:rsidP="00424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BB2">
        <w:rPr>
          <w:rFonts w:ascii="Times New Roman" w:hAnsi="Times New Roman" w:cs="Times New Roman"/>
          <w:sz w:val="28"/>
          <w:szCs w:val="28"/>
        </w:rPr>
        <w:t>До Головного управління ДПС у Харківській області надійшло запитання: чи зобов’язані фізичні особи підприємці, які обрали спрощену систему оподаткування, при здійсненні перевезення пасажирів застосовувати РК (видавити квитки) та КРО?</w:t>
      </w:r>
      <w:r>
        <w:rPr>
          <w:rFonts w:ascii="Times New Roman" w:hAnsi="Times New Roman" w:cs="Times New Roman"/>
          <w:sz w:val="28"/>
          <w:szCs w:val="28"/>
        </w:rPr>
        <w:t xml:space="preserve"> Повідомляємо про таке.</w:t>
      </w:r>
    </w:p>
    <w:p w:rsidR="00362BB2" w:rsidRPr="00424440" w:rsidRDefault="00362BB2" w:rsidP="00424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BB2">
        <w:rPr>
          <w:rFonts w:ascii="Times New Roman" w:hAnsi="Times New Roman" w:cs="Times New Roman"/>
          <w:sz w:val="28"/>
          <w:szCs w:val="28"/>
        </w:rPr>
        <w:t>Пунктом 6 ст. 9 Закону України від 06 липня 1995 року № 265/95-ВР «Про застосування реєстраторів розрахункових операцій у сфері торгівлі, громадського харчування та послуг» із змінами та доповненням (далі – Закон № 265) передбачено, що реєстратори розрахункових операцій (далі – РРО) та/або програмні РРО (далі – ПРРО) та розрахункові книжки (далі – РК) не застосовуються при продажу товарів (наданні послуг) платниками єдиного податку (фізичними особами – підприємцями</w:t>
      </w:r>
      <w:r w:rsidR="00424440">
        <w:rPr>
          <w:rFonts w:ascii="Times New Roman" w:hAnsi="Times New Roman" w:cs="Times New Roman"/>
          <w:sz w:val="28"/>
          <w:szCs w:val="28"/>
        </w:rPr>
        <w:t>)</w:t>
      </w:r>
      <w:r w:rsidRPr="00362BB2">
        <w:rPr>
          <w:rFonts w:ascii="Times New Roman" w:hAnsi="Times New Roman" w:cs="Times New Roman"/>
          <w:sz w:val="28"/>
          <w:szCs w:val="28"/>
        </w:rPr>
        <w:t xml:space="preserve">, які не застосовують РРО та/або ПРРО відповідно до Податкового кодексу України. </w:t>
      </w:r>
    </w:p>
    <w:p w:rsidR="00362BB2" w:rsidRPr="00424440" w:rsidRDefault="00362BB2" w:rsidP="00424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BB2">
        <w:rPr>
          <w:rFonts w:ascii="Times New Roman" w:hAnsi="Times New Roman" w:cs="Times New Roman"/>
          <w:sz w:val="28"/>
          <w:szCs w:val="28"/>
        </w:rPr>
        <w:t xml:space="preserve">Разом з тим, згідно з п. 15 ст. 3 Закону № 265 суб’єкти господарювання, які здійснюють розрахункові операції в готівковій та/або в безготівковій формі (із застосуванням електронних платіжних засобів, платіжних </w:t>
      </w:r>
      <w:proofErr w:type="spellStart"/>
      <w:r w:rsidRPr="00362BB2">
        <w:rPr>
          <w:rFonts w:ascii="Times New Roman" w:hAnsi="Times New Roman" w:cs="Times New Roman"/>
          <w:sz w:val="28"/>
          <w:szCs w:val="28"/>
        </w:rPr>
        <w:t>чеків</w:t>
      </w:r>
      <w:proofErr w:type="spellEnd"/>
      <w:r w:rsidRPr="00362BB2">
        <w:rPr>
          <w:rFonts w:ascii="Times New Roman" w:hAnsi="Times New Roman" w:cs="Times New Roman"/>
          <w:sz w:val="28"/>
          <w:szCs w:val="28"/>
        </w:rPr>
        <w:t>, жетонів тощо) при продажу товарів (наданні послуг) у сфері торгівлі, громадського харчування та послуг, а також операції з приймання готівки для подальшого її переказу, зобов’язані надавати в паперовій та/або електронній формі покупцю товарів (послуг) за його вимогою чек, накладну або інший розрахунковий документ, що засвідчує передання права власності на них від продавця до покупця з метою виконання вимог Закону України від 12 травня 1991 року № 1023-XII «Про захист прав споживачів» із змінами та доповненнями (далі – Закон № 1023). Порушення цього правила тягне за собою відповідальність, передбачену Законом № 1023, але не може бути підставою для застосування до порушника адміністративних чи фінансових санкцій, передбачених законода</w:t>
      </w:r>
      <w:r w:rsidR="00424440" w:rsidRPr="00424440">
        <w:rPr>
          <w:rFonts w:ascii="Times New Roman" w:hAnsi="Times New Roman" w:cs="Times New Roman"/>
          <w:sz w:val="28"/>
          <w:szCs w:val="28"/>
        </w:rPr>
        <w:t>вством з питань оподаткування.</w:t>
      </w:r>
    </w:p>
    <w:p w:rsidR="00362BB2" w:rsidRPr="00424440" w:rsidRDefault="00362BB2" w:rsidP="00362B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BB2">
        <w:rPr>
          <w:rFonts w:ascii="Times New Roman" w:hAnsi="Times New Roman" w:cs="Times New Roman"/>
          <w:sz w:val="28"/>
          <w:szCs w:val="28"/>
        </w:rPr>
        <w:t>Враховуючи викладене вище, фізичні особи – підприємці платники єдиного податку, які здійснюють перевезення пасажирів, не зобов’язані застосовувати РК та книги обліку розрахункових операцій.</w:t>
      </w:r>
    </w:p>
    <w:p w:rsidR="00424440" w:rsidRPr="00424440" w:rsidRDefault="00424440" w:rsidP="00424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440">
        <w:rPr>
          <w:rFonts w:ascii="Times New Roman" w:hAnsi="Times New Roman" w:cs="Times New Roman"/>
          <w:sz w:val="28"/>
          <w:szCs w:val="28"/>
        </w:rPr>
        <w:t xml:space="preserve">Разом з цим </w:t>
      </w:r>
      <w:r w:rsidRPr="00362BB2">
        <w:rPr>
          <w:rFonts w:ascii="Times New Roman" w:hAnsi="Times New Roman" w:cs="Times New Roman"/>
          <w:sz w:val="28"/>
          <w:szCs w:val="28"/>
        </w:rPr>
        <w:t>Відповідно до п. 41 Правил надання послуг пасажирського автомобільного транспорту, затверджених постановою Кабінету Міністрів України від 18 лютого 1997 року № 176 із змінами та доповненням (далі – Постанова № 176), пасажир повинен мати квиток на проїзд в автобусі (для пільгового проїзду – посвідчення особи встановленого зразка чи довідку, на підставі якої надається пільга), а в разі запровадження автоматизованої системи обліку оплати проїзду – електронний квиток та документи для пільгового проїзду.</w:t>
      </w:r>
    </w:p>
    <w:p w:rsidR="00424440" w:rsidRPr="00424440" w:rsidRDefault="00424440" w:rsidP="00424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BB2">
        <w:rPr>
          <w:rFonts w:ascii="Times New Roman" w:hAnsi="Times New Roman" w:cs="Times New Roman"/>
          <w:sz w:val="28"/>
          <w:szCs w:val="28"/>
        </w:rPr>
        <w:t>У разі перевезення багажу пасажир повинен мати квитанцію на перевезення багажу.</w:t>
      </w:r>
    </w:p>
    <w:p w:rsidR="00424440" w:rsidRDefault="00424440" w:rsidP="00424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BB2">
        <w:rPr>
          <w:rFonts w:ascii="Times New Roman" w:hAnsi="Times New Roman" w:cs="Times New Roman"/>
          <w:sz w:val="28"/>
          <w:szCs w:val="28"/>
        </w:rPr>
        <w:t>Наказом Міністерства транспорту та зв’язку України від 25.05.2006 № 503 (далі – Наказ № 503) затверджені Типові форми квитків на проїзд пасажирів і перевезення багажу на маршрутах загального користування.</w:t>
      </w:r>
    </w:p>
    <w:p w:rsidR="00424440" w:rsidRPr="00424440" w:rsidRDefault="00424440" w:rsidP="00424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Відповідне роз’яснення розміщено в категорії 109.02 Загальнодоступного інформаційно-довідкового ресурсу ДПС. </w:t>
      </w:r>
    </w:p>
    <w:p w:rsidR="00424440" w:rsidRPr="00362BB2" w:rsidRDefault="00424440" w:rsidP="00424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BB2">
        <w:rPr>
          <w:rFonts w:ascii="Times New Roman" w:hAnsi="Times New Roman" w:cs="Times New Roman"/>
          <w:sz w:val="28"/>
          <w:szCs w:val="28"/>
        </w:rPr>
        <w:lastRenderedPageBreak/>
        <w:t>Водночас, з метою виконання вимог Закону № 1023 та Постанови № 176, на вимогу пасажирів, такі особи зобов’язані видавати відповідні документи, за формою, затвердженою Наказом № 503.</w:t>
      </w:r>
    </w:p>
    <w:p w:rsidR="00424440" w:rsidRPr="00424440" w:rsidRDefault="00424440" w:rsidP="00362B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2BB2" w:rsidRPr="00424440" w:rsidRDefault="00362BB2">
      <w:pPr>
        <w:rPr>
          <w:rFonts w:ascii="Times New Roman" w:hAnsi="Times New Roman" w:cs="Times New Roman"/>
          <w:sz w:val="28"/>
          <w:szCs w:val="28"/>
        </w:rPr>
      </w:pPr>
    </w:p>
    <w:sectPr w:rsidR="00362BB2" w:rsidRPr="004244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BB2"/>
    <w:rsid w:val="00362BB2"/>
    <w:rsid w:val="00424440"/>
    <w:rsid w:val="009B58F7"/>
    <w:rsid w:val="00B71E3F"/>
    <w:rsid w:val="00F2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9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6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2035</Words>
  <Characters>1160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ПАВЛЮК ТЕТЯНА ІВАНІВНА</dc:creator>
  <cp:lastModifiedBy>ПАВЛЮК ТЕТЯНА ІВАНІВНА</cp:lastModifiedBy>
  <cp:revision>1</cp:revision>
  <dcterms:created xsi:type="dcterms:W3CDTF">2021-07-13T06:38:00Z</dcterms:created>
  <dcterms:modified xsi:type="dcterms:W3CDTF">2021-07-13T06:56:00Z</dcterms:modified>
</cp:coreProperties>
</file>