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75" w:rsidRPr="00EF7975" w:rsidRDefault="00EF7975" w:rsidP="00EF797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/>
          <w:b/>
          <w:color w:val="1D1D1B"/>
          <w:kern w:val="36"/>
          <w:sz w:val="24"/>
          <w:szCs w:val="24"/>
          <w:lang w:eastAsia="ru-RU"/>
        </w:rPr>
      </w:pPr>
      <w:r w:rsidRPr="00EF7975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Порядок та </w:t>
      </w:r>
      <w:proofErr w:type="spellStart"/>
      <w:r w:rsidRPr="00EF7975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терміни</w:t>
      </w:r>
      <w:proofErr w:type="spellEnd"/>
      <w:r w:rsidRPr="00EF7975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EF7975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реєстрації</w:t>
      </w:r>
      <w:proofErr w:type="spellEnd"/>
      <w:r w:rsidRPr="00EF7975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EF7975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>програмних</w:t>
      </w:r>
      <w:proofErr w:type="spellEnd"/>
      <w:r w:rsidRPr="00EF7975">
        <w:rPr>
          <w:rFonts w:eastAsia="Times New Roman"/>
          <w:b/>
          <w:color w:val="1D1D1B"/>
          <w:kern w:val="36"/>
          <w:sz w:val="24"/>
          <w:szCs w:val="24"/>
          <w:lang w:eastAsia="ru-RU"/>
        </w:rPr>
        <w:t xml:space="preserve"> РРО</w:t>
      </w:r>
    </w:p>
    <w:p w:rsidR="00EF7975" w:rsidRDefault="00EF7975" w:rsidP="00EF7975">
      <w:pPr>
        <w:pStyle w:val="a3"/>
        <w:shd w:val="clear" w:color="auto" w:fill="FFFFFF"/>
        <w:spacing w:before="0" w:beforeAutospacing="0" w:after="0" w:afterAutospacing="0"/>
        <w:ind w:hanging="142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EF7975" w:rsidRDefault="00E740A5" w:rsidP="00EF7975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noProof/>
        </w:rPr>
        <w:drawing>
          <wp:inline distT="0" distB="0" distL="0" distR="0">
            <wp:extent cx="3164620" cy="2106162"/>
            <wp:effectExtent l="19050" t="0" r="0" b="0"/>
            <wp:docPr id="1" name="Рисунок 1" descr="Чи потрібен РРО при оплаті за послуги через еквайринг: НБУ відповіді не дає  | «Дебет-Кредит» -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 потрібен РРО при оплаті за послуги через еквайринг: НБУ відповіді не дає  | «Дебет-Кредит» -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99" cy="210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A5" w:rsidRDefault="00E740A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uk-UA"/>
        </w:rPr>
      </w:pPr>
      <w:r w:rsidRPr="006574C1">
        <w:rPr>
          <w:rFonts w:ascii="Arial" w:hAnsi="Arial" w:cs="Arial"/>
          <w:color w:val="000000"/>
          <w:sz w:val="18"/>
          <w:szCs w:val="18"/>
          <w:lang w:val="uk-UA"/>
        </w:rPr>
        <w:t>Головне управління ДПС у Харківській області повідомляє, що Порядок реєстрації, ведення реєстру та застосування програмних реєстраторів розрахункових операцій (далі - ПРРО) затверджено наказом Міністерства фінансів України від 23.06.2020 року № 317 «Про внесення змін до наказу Міністерства фінансів України від 14 червня 2016 року № 547» (далі - Порядок).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>ід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час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кожному ПРРО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сервером ДПС автоматично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формується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присвоюється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фіскальний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номер.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Фіскальний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номер ПРРО становить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унікальний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числовий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порядковий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номер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реєстраційного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запису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</w:t>
      </w:r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стр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відповідно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до алгоритму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його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>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Фіскальний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номер ПРРО не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змінюється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разі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перереєстрації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внесенні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змін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дані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про ПРРО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зберігається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за ПРРО до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дати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скасування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його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74C1">
        <w:rPr>
          <w:rFonts w:ascii="Arial" w:hAnsi="Arial" w:cs="Arial"/>
          <w:color w:val="000000"/>
          <w:sz w:val="18"/>
          <w:szCs w:val="18"/>
        </w:rPr>
        <w:t xml:space="preserve">Для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складається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Заява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реєстрацію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 за формою № 1-ПРРО (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далі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Заява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).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Заява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електронній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формі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дотриманням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вимог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законів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сфері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електронного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документообігу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використання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електронних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документів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подається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сервера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засобами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Електронного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кабінету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(портального </w:t>
      </w: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користувачів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програмного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інтерфейсу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(API))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засобами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телекомунікацій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>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сервером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здійснюється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автоматизована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обробка</w:t>
      </w:r>
      <w:proofErr w:type="spellEnd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 xml:space="preserve"> З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 xml:space="preserve">аяви, за результатами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якої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реєструється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формується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відмова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74C1">
        <w:rPr>
          <w:rFonts w:ascii="Arial" w:hAnsi="Arial" w:cs="Arial"/>
          <w:color w:val="000000"/>
          <w:sz w:val="18"/>
          <w:szCs w:val="18"/>
        </w:rPr>
        <w:t xml:space="preserve">Про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результати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обробки</w:t>
      </w:r>
      <w:proofErr w:type="spellEnd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 xml:space="preserve"> З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 xml:space="preserve">аяви,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суб’єкту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господарювання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надається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направляється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інформація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засобами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Електронного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кабінету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засобами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телекомунікацій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>: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74C1">
        <w:rPr>
          <w:rFonts w:ascii="Arial" w:hAnsi="Arial" w:cs="Arial"/>
          <w:color w:val="000000"/>
          <w:sz w:val="18"/>
          <w:szCs w:val="18"/>
        </w:rPr>
        <w:t xml:space="preserve">- у день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отримання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Заяви,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якщо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Заява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 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надійшла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не </w:t>
      </w: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>ізніше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16.00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робочого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операційного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дня);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74C1">
        <w:rPr>
          <w:rFonts w:ascii="Arial" w:hAnsi="Arial" w:cs="Arial"/>
          <w:color w:val="000000"/>
          <w:sz w:val="18"/>
          <w:szCs w:val="18"/>
        </w:rPr>
        <w:t xml:space="preserve">- не </w:t>
      </w: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>ізніше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наступного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робочого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дня,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якщо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Заява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надійшла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після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16.00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робочого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операційного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дня).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Така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інформація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направляється</w:t>
      </w:r>
      <w:proofErr w:type="spellEnd"/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вигляді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першої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квитанції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першої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другої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квитанцій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згідно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Порядком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обміну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електронними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документами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контролюючими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органами,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затвердженим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наказом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Міністерства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фінансів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06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червня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2017 року № 557.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74C1">
        <w:rPr>
          <w:rFonts w:ascii="Arial" w:hAnsi="Arial" w:cs="Arial"/>
          <w:color w:val="000000"/>
          <w:sz w:val="18"/>
          <w:szCs w:val="18"/>
        </w:rPr>
        <w:t xml:space="preserve">У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разі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відсутності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>ідстав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відмови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реєструється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шляхом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присвоєння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програмним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забезпеченням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сервера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номера ПРРО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із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внесенням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даних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>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74C1">
        <w:rPr>
          <w:rFonts w:ascii="Arial" w:hAnsi="Arial" w:cs="Arial"/>
          <w:color w:val="000000"/>
          <w:sz w:val="18"/>
          <w:szCs w:val="18"/>
        </w:rPr>
        <w:t xml:space="preserve">Датою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є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дата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номера ПРРО.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74C1">
        <w:rPr>
          <w:rFonts w:ascii="Arial" w:hAnsi="Arial" w:cs="Arial"/>
          <w:color w:val="000000"/>
          <w:sz w:val="18"/>
          <w:szCs w:val="18"/>
        </w:rPr>
        <w:t xml:space="preserve">Для кожного ПРРО </w:t>
      </w: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>ід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час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присвоєння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йому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номера 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внесення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його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сервером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формується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перша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порція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діапазону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фіскальних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номерів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присвоюються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електронним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розрахунковим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документам,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електронним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звітним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чекам 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повідомленням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передбачені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цим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Порядком,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під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час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 в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режимі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офлайн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>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74C1">
        <w:rPr>
          <w:rFonts w:ascii="Arial" w:hAnsi="Arial" w:cs="Arial"/>
          <w:color w:val="000000"/>
          <w:sz w:val="18"/>
          <w:szCs w:val="18"/>
        </w:rPr>
        <w:t xml:space="preserve">Про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реєстрацію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суб'єкту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господарювання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направляється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інформація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другій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квитанції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із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зазначенням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присвоєного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>ід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час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номера ПРРО 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наданням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першої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порції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діапазону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фіскальних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номерів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>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Нагадуємо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Інструкцією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встановлення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налаштування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програмних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можна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ознайомитися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вебпорталі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ДПС (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tax.gov.ua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) в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банері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Програмні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РРО» за посиланнями </w:t>
      </w:r>
      <w:hyperlink r:id="rId5" w:history="1">
        <w:r w:rsidRPr="006574C1">
          <w:rPr>
            <w:rStyle w:val="a4"/>
            <w:rFonts w:ascii="Arial" w:hAnsi="Arial" w:cs="Arial"/>
            <w:color w:val="2D5CA6"/>
            <w:sz w:val="18"/>
            <w:szCs w:val="18"/>
            <w:u w:val="none"/>
            <w:bdr w:val="none" w:sz="0" w:space="0" w:color="auto" w:frame="1"/>
          </w:rPr>
          <w:t>https://tax.gov.ua/baneryi/programni-rro/programniy-reestrator-rozrahunkovih-operatsiy/programniy-reestrator-rozrahunkovih-operatsiy-/</w:t>
        </w:r>
      </w:hyperlink>
      <w:r w:rsidRPr="006574C1">
        <w:rPr>
          <w:rFonts w:ascii="Arial" w:hAnsi="Arial" w:cs="Arial"/>
          <w:color w:val="000000"/>
          <w:sz w:val="18"/>
          <w:szCs w:val="18"/>
        </w:rPr>
        <w:t>та </w:t>
      </w:r>
      <w:hyperlink r:id="rId6" w:history="1">
        <w:r w:rsidRPr="006574C1">
          <w:rPr>
            <w:rStyle w:val="a4"/>
            <w:rFonts w:ascii="Arial" w:hAnsi="Arial" w:cs="Arial"/>
            <w:color w:val="2D5CA6"/>
            <w:sz w:val="18"/>
            <w:szCs w:val="18"/>
            <w:u w:val="none"/>
            <w:bdr w:val="none" w:sz="0" w:space="0" w:color="auto" w:frame="1"/>
          </w:rPr>
          <w:t>https://tax.gov.ua/baneryi/programni-rro/programniy-reestrator-rozrahunkovih-operatsiy/fiskalniy-dodatok-prrosto/</w:t>
        </w:r>
      </w:hyperlink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Інструкція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заповнення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реєстраційної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форми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повідомлення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надання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інформації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кваліфікованого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сертифіката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відкритого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ключа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розміщена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за посиланням </w:t>
      </w:r>
      <w:hyperlink r:id="rId7" w:history="1">
        <w:r w:rsidRPr="006574C1">
          <w:rPr>
            <w:rStyle w:val="a4"/>
            <w:rFonts w:ascii="Arial" w:hAnsi="Arial" w:cs="Arial"/>
            <w:color w:val="2D5CA6"/>
            <w:sz w:val="18"/>
            <w:szCs w:val="18"/>
            <w:u w:val="none"/>
            <w:bdr w:val="none" w:sz="0" w:space="0" w:color="auto" w:frame="1"/>
          </w:rPr>
          <w:t>https://tax.gov.ua/baneryi/programni-rro/formi-prro/instruktsii-schodo-zapovnennya-form/</w:t>
        </w:r>
      </w:hyperlink>
      <w:r w:rsidRPr="006574C1">
        <w:rPr>
          <w:rFonts w:ascii="Arial" w:hAnsi="Arial" w:cs="Arial"/>
          <w:color w:val="000000"/>
          <w:sz w:val="18"/>
          <w:szCs w:val="18"/>
        </w:rPr>
        <w:t>.</w:t>
      </w:r>
    </w:p>
    <w:p w:rsidR="00EF7975" w:rsidRPr="006574C1" w:rsidRDefault="00EF7975" w:rsidP="00E740A5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 w:rsidRPr="006574C1">
        <w:rPr>
          <w:rFonts w:ascii="Arial" w:hAnsi="Arial" w:cs="Arial"/>
          <w:color w:val="000000"/>
          <w:sz w:val="18"/>
          <w:szCs w:val="18"/>
        </w:rPr>
        <w:t>З</w:t>
      </w:r>
      <w:proofErr w:type="gram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відеоуроком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реєстрації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програмних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РРО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можна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74C1">
        <w:rPr>
          <w:rFonts w:ascii="Arial" w:hAnsi="Arial" w:cs="Arial"/>
          <w:color w:val="000000"/>
          <w:sz w:val="18"/>
          <w:szCs w:val="18"/>
        </w:rPr>
        <w:t>ознайомитися</w:t>
      </w:r>
      <w:proofErr w:type="spellEnd"/>
      <w:r w:rsidRPr="006574C1">
        <w:rPr>
          <w:rFonts w:ascii="Arial" w:hAnsi="Arial" w:cs="Arial"/>
          <w:color w:val="000000"/>
          <w:sz w:val="18"/>
          <w:szCs w:val="18"/>
        </w:rPr>
        <w:t xml:space="preserve"> за посиланням </w:t>
      </w:r>
      <w:hyperlink r:id="rId8" w:history="1">
        <w:r w:rsidRPr="006574C1">
          <w:rPr>
            <w:rStyle w:val="a4"/>
            <w:rFonts w:ascii="Arial" w:hAnsi="Arial" w:cs="Arial"/>
            <w:color w:val="2D5CA6"/>
            <w:sz w:val="18"/>
            <w:szCs w:val="18"/>
            <w:u w:val="none"/>
            <w:bdr w:val="none" w:sz="0" w:space="0" w:color="auto" w:frame="1"/>
          </w:rPr>
          <w:t>https://tax.gov.ua/baneryi/programni-rro/video-lessons/6842.html</w:t>
        </w:r>
      </w:hyperlink>
      <w:r w:rsidRPr="006574C1">
        <w:rPr>
          <w:rFonts w:ascii="Arial" w:hAnsi="Arial" w:cs="Arial"/>
          <w:color w:val="000000"/>
          <w:sz w:val="18"/>
          <w:szCs w:val="18"/>
        </w:rPr>
        <w:t>.</w:t>
      </w:r>
    </w:p>
    <w:p w:rsidR="001548AF" w:rsidRDefault="001548AF" w:rsidP="00E740A5">
      <w:pPr>
        <w:ind w:firstLine="425"/>
        <w:jc w:val="both"/>
      </w:pPr>
    </w:p>
    <w:sectPr w:rsidR="001548AF" w:rsidSect="00E740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975"/>
    <w:rsid w:val="001548AF"/>
    <w:rsid w:val="005D2BE1"/>
    <w:rsid w:val="005F2F19"/>
    <w:rsid w:val="006574C1"/>
    <w:rsid w:val="00E740A5"/>
    <w:rsid w:val="00EF7975"/>
    <w:rsid w:val="00F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paragraph" w:styleId="1">
    <w:name w:val="heading 1"/>
    <w:basedOn w:val="a"/>
    <w:link w:val="10"/>
    <w:uiPriority w:val="9"/>
    <w:qFormat/>
    <w:rsid w:val="00EF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9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gov.ua/baneryi/programni-rro/video-lessons/68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x.gov.ua/baneryi/programni-rro/formi-prro/instruktsii-schodo-zapovnennya-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.gov.ua/baneryi/programni-rro/programniy-reestrator-rozrahunkovih-operatsiy/fiskalniy-dodatok-prrosto/" TargetMode="External"/><Relationship Id="rId5" Type="http://schemas.openxmlformats.org/officeDocument/2006/relationships/hyperlink" Target="https://tax.gov.ua/baneryi/programni-rro/programniy-reestrator-rozrahunkovih-operatsiy/programniy-reestrator-rozrahunkovih-operatsiy-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4</cp:revision>
  <dcterms:created xsi:type="dcterms:W3CDTF">2021-05-12T12:15:00Z</dcterms:created>
  <dcterms:modified xsi:type="dcterms:W3CDTF">2021-05-13T05:19:00Z</dcterms:modified>
</cp:coreProperties>
</file>