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47" w:rsidRDefault="00751256" w:rsidP="00966C4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</w:pPr>
      <w:r w:rsidRPr="00751256"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  <w:t>Порядки використання РРО та ПРРО</w:t>
      </w:r>
      <w:r w:rsidR="00B768AC"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  <w:t xml:space="preserve"> змінять:</w:t>
      </w:r>
    </w:p>
    <w:p w:rsidR="00751256" w:rsidRPr="00751256" w:rsidRDefault="00B768AC" w:rsidP="00966C4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</w:pPr>
      <w:r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  <w:t>проект наказу Мінфіну</w:t>
      </w:r>
    </w:p>
    <w:p w:rsidR="00751256" w:rsidRPr="00751256" w:rsidRDefault="00F70775" w:rsidP="00966C4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</w:pPr>
      <w:r>
        <w:rPr>
          <w:noProof/>
          <w:lang w:eastAsia="uk-UA"/>
        </w:rPr>
        <w:drawing>
          <wp:inline distT="0" distB="0" distL="0" distR="0" wp14:anchorId="136EB5D2" wp14:editId="564293DF">
            <wp:extent cx="5088918" cy="3019425"/>
            <wp:effectExtent l="0" t="0" r="0" b="0"/>
            <wp:docPr id="1" name="Рисунок 1" descr="Застосування програмного РРО: Мінфін готує нормативні акти | «Дебет-Кредит» 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стосування програмного РРО: Мінфін готує нормативні акти | «Дебет-Кредит» 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18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8F" w:rsidRDefault="00CF538F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bookmarkStart w:id="0" w:name="_GoBack"/>
      <w:bookmarkEnd w:id="0"/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25 травня на сайті ДПС</w:t>
      </w:r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7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з'явився текст</w:t>
        </w:r>
      </w:hyperlink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проекту наказу Мінфіну щодо змін до Порядків реєстрації та застосування РРО та ПРРО. З текстом проекту можна ознайомитися</w:t>
      </w:r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8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тут</w:t>
        </w:r>
      </w:hyperlink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.</w:t>
      </w:r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За пояснювальною</w:t>
      </w:r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9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запискою</w:t>
        </w:r>
      </w:hyperlink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до проекту акт</w:t>
      </w:r>
      <w:r w:rsidR="00486772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у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передбачено привести Порядок РРО у відповідність до положень</w:t>
      </w:r>
      <w:r w:rsidR="00B768AC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10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Закону № 1017</w:t>
        </w:r>
      </w:hyperlink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.</w:t>
      </w:r>
    </w:p>
    <w:p w:rsidR="00B768AC" w:rsidRPr="00966C47" w:rsidRDefault="00B768AC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uk-UA"/>
        </w:rPr>
      </w:pP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uk-UA"/>
        </w:rPr>
        <w:t>Зміни щодо роботи з РРО 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Зокрема, має бути скасовано обов’язок суб’єкта господарювання, який проводить розрахункові операції через РРО, забезпечувати відповідність сум готівкових коштів на місці проведення розрахунків сумі коштів, яка зазначена в денному звіті РРО, а у випадку використання розрахункової книжки – загальній сумі продажу за розрахунковими квитанціями, виданими з початку робочого дня.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Також з Порядку мають виключати норми щодо</w:t>
      </w:r>
      <w:r w:rsidR="00433526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обов’язку забезпечувати використання режиму попереднього програмування в РРО найменування, ціни, кількості товарів (за винятком підакцизних).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Порядок РРО, Порядок РРОВ та Порядок ЦСО передбачено привести у відповідність до</w:t>
      </w:r>
      <w:r w:rsidR="00433526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11" w:anchor="pn66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пункту 11 Порядку №601</w:t>
        </w:r>
      </w:hyperlink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в частині встановлення терміну проведення робіт ЦСО з введення РРО в експлуатацію.</w:t>
      </w:r>
    </w:p>
    <w:p w:rsidR="00B768AC" w:rsidRPr="00966C47" w:rsidRDefault="00B768AC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uk-UA"/>
        </w:rPr>
      </w:pP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lang w:eastAsia="uk-UA"/>
        </w:rPr>
        <w:t>Зміни щодо роботи з ПРРО 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Про</w:t>
      </w:r>
      <w:r w:rsidR="00486772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е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ктом акт</w:t>
      </w:r>
      <w:r w:rsidR="00486772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у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буде приведено у відповідність до положень Закону № 1017 Порядок ПРРО в частині:</w:t>
      </w:r>
    </w:p>
    <w:p w:rsidR="00751256" w:rsidRPr="00966C47" w:rsidRDefault="00751256" w:rsidP="00966C47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врегулювання можливості застосовувати в ПРРО, у тому числі, удосконаленого електронного підпису та/або удосконаленої електронної печатки для засвідчення особою, яка проводить розрахункову операцію, розрахункових документів та передачі інформації від ПРРО до фіскального сервера ДПС (Хоча КМУ вже змінив постанову щодо</w:t>
      </w:r>
      <w:r w:rsidR="00C530FD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lastRenderedPageBreak/>
        <w:t>реалізації фіскальних функцій програмними реєстраторами розрахункових операцій (ПРРО) для різних та окремих сфер застосування. Але без змін до</w:t>
      </w:r>
      <w:r w:rsidR="00433526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12" w:anchor="pn34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Порядку №547</w:t>
        </w:r>
      </w:hyperlink>
      <w:r w:rsidR="00433526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новації не будуть працювати;</w:t>
      </w:r>
    </w:p>
    <w:p w:rsidR="00751256" w:rsidRPr="00966C47" w:rsidRDefault="00751256" w:rsidP="00966C47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скасування необхідності використання режиму попереднього програмування найменування, ціни, кількості товарів (за винятком підакцизних) в ПРРО;</w:t>
      </w:r>
    </w:p>
    <w:p w:rsidR="00751256" w:rsidRPr="00966C47" w:rsidRDefault="00751256" w:rsidP="00966C47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заборони використання ПРРО при оптовій та/або роздрібній торгівлі пальним.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Також Порядком ПРРО встановлено форму (електронну форму), за якою надається інформація про кваліфіковані/удосконалені сертифікати відкритих ключів, які використовуються в ПРРО, для їх включення до Реєстру програмних реєстраторів розрахункових операцій.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Крім того, приведено у відповідність із</w:t>
      </w:r>
      <w:r w:rsidR="00C530FD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hyperlink r:id="rId13" w:tgtFrame="_blank" w:history="1">
        <w:r w:rsidRPr="00966C47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Законом № 1117</w:t>
        </w:r>
      </w:hyperlink>
      <w:r w:rsidR="00C530FD"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</w:t>
      </w: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норми стосовно надання можливості ведення обліку операцій з видачі готівкових коштів держателям ЕПЗ через ПРРО.</w:t>
      </w:r>
    </w:p>
    <w:p w:rsidR="00751256" w:rsidRPr="00966C47" w:rsidRDefault="00751256" w:rsidP="00966C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66C47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Водночас Порядок ПРРО спрощено шляхом виключення необхідності подання на реєстрацію до фіскального сервера повідомлення про відкриття зміни ПРРО за формою № 3-ПРРО. Форму № 3-ПРРО виключено з Порядку ПРРО як додаток.</w:t>
      </w:r>
    </w:p>
    <w:p w:rsidR="00EF17FB" w:rsidRPr="00966C47" w:rsidRDefault="00EF17FB" w:rsidP="00966C4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F17FB" w:rsidRPr="00966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81F"/>
    <w:multiLevelType w:val="multilevel"/>
    <w:tmpl w:val="D30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6"/>
    <w:rsid w:val="0003270D"/>
    <w:rsid w:val="00045388"/>
    <w:rsid w:val="00063841"/>
    <w:rsid w:val="00091ADA"/>
    <w:rsid w:val="00135C48"/>
    <w:rsid w:val="001F35A6"/>
    <w:rsid w:val="00224A03"/>
    <w:rsid w:val="00284D82"/>
    <w:rsid w:val="00296FD6"/>
    <w:rsid w:val="002E5C26"/>
    <w:rsid w:val="00327F23"/>
    <w:rsid w:val="00347A40"/>
    <w:rsid w:val="00374D45"/>
    <w:rsid w:val="00377507"/>
    <w:rsid w:val="003B5FD1"/>
    <w:rsid w:val="004071A9"/>
    <w:rsid w:val="004136CC"/>
    <w:rsid w:val="00414D43"/>
    <w:rsid w:val="00433526"/>
    <w:rsid w:val="00445339"/>
    <w:rsid w:val="0044779C"/>
    <w:rsid w:val="00467774"/>
    <w:rsid w:val="00486772"/>
    <w:rsid w:val="004A1E4D"/>
    <w:rsid w:val="004A4966"/>
    <w:rsid w:val="00590BB2"/>
    <w:rsid w:val="005D78C5"/>
    <w:rsid w:val="005E6013"/>
    <w:rsid w:val="00621481"/>
    <w:rsid w:val="00647F7A"/>
    <w:rsid w:val="006B07DD"/>
    <w:rsid w:val="006C487C"/>
    <w:rsid w:val="006C5C1D"/>
    <w:rsid w:val="00733A5D"/>
    <w:rsid w:val="00751256"/>
    <w:rsid w:val="007539EC"/>
    <w:rsid w:val="0079126E"/>
    <w:rsid w:val="007F201D"/>
    <w:rsid w:val="008F1F40"/>
    <w:rsid w:val="009444FA"/>
    <w:rsid w:val="00966C47"/>
    <w:rsid w:val="00A1363D"/>
    <w:rsid w:val="00A94B0C"/>
    <w:rsid w:val="00B0008B"/>
    <w:rsid w:val="00B768AC"/>
    <w:rsid w:val="00B836C5"/>
    <w:rsid w:val="00BC1514"/>
    <w:rsid w:val="00BF07B3"/>
    <w:rsid w:val="00BF4A09"/>
    <w:rsid w:val="00C009D5"/>
    <w:rsid w:val="00C530FD"/>
    <w:rsid w:val="00C82A61"/>
    <w:rsid w:val="00C863D7"/>
    <w:rsid w:val="00C92E1C"/>
    <w:rsid w:val="00CC594C"/>
    <w:rsid w:val="00CF538F"/>
    <w:rsid w:val="00D35BF9"/>
    <w:rsid w:val="00DA200B"/>
    <w:rsid w:val="00DB50E7"/>
    <w:rsid w:val="00E150EE"/>
    <w:rsid w:val="00E223F1"/>
    <w:rsid w:val="00E26645"/>
    <w:rsid w:val="00E41834"/>
    <w:rsid w:val="00EB6667"/>
    <w:rsid w:val="00EF17FB"/>
    <w:rsid w:val="00F14024"/>
    <w:rsid w:val="00F146E2"/>
    <w:rsid w:val="00F70775"/>
    <w:rsid w:val="00FB300F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gov.ua/data/normativ/000/003/75534/ZM_NI_do_547_64_d_apazon052021.doc" TargetMode="External"/><Relationship Id="rId13" Type="http://schemas.openxmlformats.org/officeDocument/2006/relationships/hyperlink" Target="https://docs.dtkt.ua/doc/1017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x.gov.ua/diyalnist-/regulyatorna-politika-/regulyatorna-politika/2021-rik/75534.html" TargetMode="External"/><Relationship Id="rId12" Type="http://schemas.openxmlformats.org/officeDocument/2006/relationships/hyperlink" Target="https://docs.dtkt.ua/doc/z0918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dtkt.ua/doc/601-2004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dtkt.ua/doc/1017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gov.ua/data/normativ/000/003/75534/Poyasnyuvalna_547_64_red_D_apazon05202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5</cp:revision>
  <dcterms:created xsi:type="dcterms:W3CDTF">2021-05-26T10:33:00Z</dcterms:created>
  <dcterms:modified xsi:type="dcterms:W3CDTF">2021-05-27T10:19:00Z</dcterms:modified>
</cp:coreProperties>
</file>