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49" w:rsidRDefault="006D7C49">
      <w:pPr>
        <w:rPr>
          <w:lang w:val="uk-UA"/>
        </w:rPr>
      </w:pPr>
    </w:p>
    <w:p w:rsidR="006D7C49" w:rsidRPr="006D7C49" w:rsidRDefault="006D7C49" w:rsidP="006D7C49">
      <w:pPr>
        <w:pBdr>
          <w:bottom w:val="single" w:sz="12" w:space="0" w:color="FFDE00"/>
        </w:pBd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color w:val="333333"/>
          <w:kern w:val="36"/>
          <w:sz w:val="30"/>
          <w:szCs w:val="30"/>
          <w:lang w:val="uk-UA" w:eastAsia="ru-RU"/>
        </w:rPr>
      </w:pPr>
      <w:r w:rsidRPr="006D7C49">
        <w:rPr>
          <w:rFonts w:ascii="inherit" w:eastAsia="Times New Roman" w:hAnsi="inherit" w:cs="Arial"/>
          <w:color w:val="333333"/>
          <w:kern w:val="36"/>
          <w:sz w:val="30"/>
          <w:szCs w:val="30"/>
          <w:lang w:val="uk-UA" w:eastAsia="ru-RU"/>
        </w:rPr>
        <w:t>Об’єднана звітність з ПДФО та ЄСВ: які додатки заповнює роботодавець</w:t>
      </w:r>
    </w:p>
    <w:p w:rsidR="00941E1D" w:rsidRDefault="00941E1D" w:rsidP="006D7C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</w:pPr>
    </w:p>
    <w:p w:rsidR="006D7C49" w:rsidRPr="006D7C49" w:rsidRDefault="006D7C49" w:rsidP="006D7C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  <w:t>Мінфін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hyperlink r:id="rId5" w:anchor="Text" w:history="1">
        <w:r w:rsidRPr="006D7C49">
          <w:rPr>
            <w:rFonts w:ascii="inherit" w:eastAsia="Times New Roman" w:hAnsi="inherit" w:cs="Arial"/>
            <w:color w:val="479229"/>
            <w:sz w:val="20"/>
            <w:u w:val="single"/>
            <w:lang w:val="uk-UA" w:eastAsia="ru-RU"/>
          </w:rPr>
          <w:t>наказом від 15.12.2020 року № 773</w:t>
        </w:r>
      </w:hyperlink>
      <w:r w:rsidRPr="006D7C49"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  <w:t>, який набрав чинності з 01.01.2021 року, вніс зміни до власного н</w:t>
      </w:r>
      <w:r w:rsidR="00941E1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145415</wp:posOffset>
            </wp:positionV>
            <wp:extent cx="2760732" cy="1653871"/>
            <wp:effectExtent l="19050" t="0" r="1518" b="0"/>
            <wp:wrapSquare wrapText="bothSides"/>
            <wp:docPr id="15" name="Рисунок 1" descr="Єдиний звіт з ПДФО, ВЗ та ЄСВ: коли подавати вперше у 2021 ро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Єдиний звіт з ПДФО, ВЗ та ЄСВ: коли подавати вперше у 2021 роц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732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  <w:t>аказу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val="uk-UA" w:eastAsia="ru-RU"/>
        </w:rPr>
        <w:t xml:space="preserve"> від 13.01.2015 року № 4 щодо форми податкового розрахунку №1ДФ та Порядку його заповнення.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податковий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включає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себе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ПДФО,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збору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ЄСВ. Перший раз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його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потрібно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подати за І квартал 2021 року.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Форма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заголовної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частини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вказуються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роботодавця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його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працівників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фізичних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та про склад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основної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розрахункової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яка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трьох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розділі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саме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:</w:t>
      </w:r>
    </w:p>
    <w:p w:rsidR="006D7C49" w:rsidRPr="006D7C49" w:rsidRDefault="006D7C49" w:rsidP="006D7C4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розділ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I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доходу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єдиного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найманих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працівників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розрізі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кварталу»;</w:t>
      </w:r>
    </w:p>
    <w:p w:rsidR="006D7C49" w:rsidRPr="006D7C49" w:rsidRDefault="006D7C49" w:rsidP="006D7C4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розділ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II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грошового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єдиного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військовослужбовців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поліцейських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рядового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начальницького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складу та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допомоги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зв’язку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вагітністю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пологами в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розрізі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крім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військовослужбовців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строкової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служби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)»;</w:t>
      </w:r>
      <w:proofErr w:type="gramEnd"/>
    </w:p>
    <w:p w:rsidR="006D7C49" w:rsidRPr="006D7C49" w:rsidRDefault="006D7C49" w:rsidP="006D7C49">
      <w:pPr>
        <w:numPr>
          <w:ilvl w:val="0"/>
          <w:numId w:val="1"/>
        </w:numPr>
        <w:shd w:val="clear" w:color="auto" w:fill="FFFFFF"/>
        <w:spacing w:after="16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розділ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III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грошового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єдиного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патронатних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вихователів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батьків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вихователів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прийомних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батьків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розрізі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кварталу».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</w:pPr>
      <w:proofErr w:type="spellStart"/>
      <w:r w:rsidRPr="006D7C49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Розрахунок</w:t>
      </w:r>
      <w:proofErr w:type="spellEnd"/>
      <w:r w:rsidRPr="006D7C49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має</w:t>
      </w:r>
      <w:proofErr w:type="spellEnd"/>
      <w:r w:rsidRPr="006D7C49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 </w:t>
      </w:r>
      <w:proofErr w:type="spellStart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шість</w:t>
      </w:r>
      <w:proofErr w:type="spellEnd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додатків</w:t>
      </w:r>
      <w:proofErr w:type="spellEnd"/>
      <w:r w:rsidRPr="006D7C49">
        <w:rPr>
          <w:rFonts w:ascii="inherit" w:eastAsia="Times New Roman" w:hAnsi="inherit" w:cs="Arial"/>
          <w:b/>
          <w:color w:val="333333"/>
          <w:sz w:val="24"/>
          <w:szCs w:val="24"/>
          <w:lang w:eastAsia="ru-RU"/>
        </w:rPr>
        <w:t>:</w:t>
      </w:r>
    </w:p>
    <w:p w:rsidR="006D7C49" w:rsidRPr="006D7C49" w:rsidRDefault="006D7C49" w:rsidP="006D7C4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заробітної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плати (доходу, грошового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застрахованим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особам» (Д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1);</w:t>
      </w:r>
    </w:p>
    <w:p w:rsidR="006D7C49" w:rsidRPr="006D7C49" w:rsidRDefault="006D7C49" w:rsidP="006D7C4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доглядають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дитиною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досягнення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нею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трирічного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закону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отримують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допомогу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 догляду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дитиною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досягнення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нею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трирічного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та/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народженні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дитини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при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усиновленні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дитини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числа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непрацюючих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працездатних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батьків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усиновителів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опікунів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іклувальників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,..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фактично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здійснюють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догляд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дитиною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інвалідністю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дитиною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 хворою…» (Д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2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2);</w:t>
      </w:r>
    </w:p>
    <w:p w:rsidR="006D7C49" w:rsidRPr="006D7C49" w:rsidRDefault="006D7C49" w:rsidP="006D7C4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проходять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строкову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службу» (Д3,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3);</w:t>
      </w:r>
    </w:p>
    <w:p w:rsidR="006D7C49" w:rsidRPr="006D7C49" w:rsidRDefault="006D7C49" w:rsidP="006D7C4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нарахованого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доходу,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утриманого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сплаченого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доходи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фізичних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збору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(4ДФ,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4);</w:t>
      </w:r>
    </w:p>
    <w:p w:rsidR="006D7C49" w:rsidRPr="006D7C49" w:rsidRDefault="006D7C49" w:rsidP="006D7C4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трудов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відносини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період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проходження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служби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(Д5,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5);</w:t>
      </w:r>
    </w:p>
    <w:p w:rsidR="006D7C49" w:rsidRPr="006D7C49" w:rsidRDefault="006D7C49" w:rsidP="006D7C49">
      <w:pPr>
        <w:numPr>
          <w:ilvl w:val="0"/>
          <w:numId w:val="2"/>
        </w:numPr>
        <w:shd w:val="clear" w:color="auto" w:fill="FFFFFF"/>
        <w:spacing w:after="16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наявність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ідстав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обліку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стажу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окремим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категоріям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законодавства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(Д6,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6).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подається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окремо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за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кожний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квартал (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податковий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період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)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з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розбивкою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по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місяцях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звітного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кварталу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протягом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40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календарних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днів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настають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останнім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календарним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днем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тобто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I квартал, II квартал, III квартал та IV квартал). </w:t>
      </w:r>
      <w:proofErr w:type="spellStart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Окремий</w:t>
      </w:r>
      <w:proofErr w:type="spellEnd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Розрахунок</w:t>
      </w:r>
      <w:proofErr w:type="spellEnd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 xml:space="preserve"> за </w:t>
      </w:r>
      <w:proofErr w:type="spellStart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календарний</w:t>
      </w:r>
      <w:proofErr w:type="spellEnd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 xml:space="preserve"> </w:t>
      </w:r>
      <w:proofErr w:type="spellStart"/>
      <w:proofErr w:type="gramStart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р</w:t>
      </w:r>
      <w:proofErr w:type="gramEnd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ік</w:t>
      </w:r>
      <w:proofErr w:type="spellEnd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 xml:space="preserve"> не </w:t>
      </w:r>
      <w:proofErr w:type="spellStart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подається</w:t>
      </w:r>
      <w:proofErr w:type="spellEnd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Такий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подається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лише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разі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зазначених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доходів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протягом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періоду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Розрахунок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незалежно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того,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виплачує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виплачує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доходи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платникам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податковий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агент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незалежно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виплачені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такого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фактично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після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їх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сплати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протягом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періоду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175C15">
        <w:rPr>
          <w:rFonts w:ascii="inherit" w:eastAsia="Times New Roman" w:hAnsi="inherit" w:cs="Arial"/>
          <w:iCs/>
          <w:color w:val="333333"/>
          <w:sz w:val="20"/>
          <w:lang w:eastAsia="ru-RU"/>
        </w:rPr>
        <w:t>Нагадаємо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надавався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щомісяця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було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пов’язано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зокрема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необхідністю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застрахованим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особам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пенсій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матеріального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страхових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виплат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рахунок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ФССУ.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цією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метою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передбачено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складання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проміжного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Розрахунку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і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відповідних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додатків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до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нього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з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 типом «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Звітний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 xml:space="preserve">» як </w:t>
      </w:r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lastRenderedPageBreak/>
        <w:t>«</w:t>
      </w:r>
      <w:proofErr w:type="spellStart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Довідковий</w:t>
      </w:r>
      <w:proofErr w:type="spellEnd"/>
      <w:r w:rsidRPr="00175C15">
        <w:rPr>
          <w:rFonts w:ascii="inherit" w:eastAsia="Times New Roman" w:hAnsi="inherit" w:cs="Arial"/>
          <w:bCs/>
          <w:iCs/>
          <w:color w:val="333333"/>
          <w:sz w:val="20"/>
          <w:lang w:eastAsia="ru-RU"/>
        </w:rPr>
        <w:t>» 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позначкою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пенсії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матеріального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страхових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виплат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Водночас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формах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потрібно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ставити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позначку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рядках «для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пенсії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«для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іальних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виплат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175C15">
        <w:rPr>
          <w:rFonts w:ascii="inherit" w:eastAsia="Times New Roman" w:hAnsi="inherit" w:cs="Arial"/>
          <w:b/>
          <w:bCs/>
          <w:iCs/>
          <w:color w:val="333333"/>
          <w:sz w:val="20"/>
          <w:lang w:eastAsia="ru-RU"/>
        </w:rPr>
        <w:t>Розділ</w:t>
      </w:r>
      <w:proofErr w:type="spellEnd"/>
      <w:r w:rsidRPr="00175C15">
        <w:rPr>
          <w:rFonts w:ascii="inherit" w:eastAsia="Times New Roman" w:hAnsi="inherit" w:cs="Arial"/>
          <w:b/>
          <w:bCs/>
          <w:iCs/>
          <w:color w:val="333333"/>
          <w:sz w:val="20"/>
          <w:lang w:eastAsia="ru-RU"/>
        </w:rPr>
        <w:t xml:space="preserve"> I </w:t>
      </w:r>
      <w:proofErr w:type="spellStart"/>
      <w:r w:rsidRPr="00175C15">
        <w:rPr>
          <w:rFonts w:ascii="inherit" w:eastAsia="Times New Roman" w:hAnsi="inherit" w:cs="Arial"/>
          <w:b/>
          <w:bCs/>
          <w:iCs/>
          <w:color w:val="333333"/>
          <w:sz w:val="20"/>
          <w:lang w:eastAsia="ru-RU"/>
        </w:rPr>
        <w:t>Розрахунку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доходу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єдиного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найманих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працівників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розрізі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нагадує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1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ЄСВ.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Цей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розділ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містить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інформацію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розрізі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нарахованої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заробітної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плати за видами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виплат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винагороди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договорами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цивільно-правового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характеру, оплати перших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п’яти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днів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тимчасової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непрацездатності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залежно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ставок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подібні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показники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. У рядку 8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відображається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загальна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сума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ідлягає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сплаті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квартал.</w:t>
      </w:r>
    </w:p>
    <w:p w:rsidR="006D7C49" w:rsidRPr="006D7C49" w:rsidRDefault="006D7C49" w:rsidP="006D7C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Звертаємо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увагу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цей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розділ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містить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рядок 5 «Сума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яка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нарахована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єдиного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самостійно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частини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другої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статті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25 Закону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України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«Про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збі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облік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єдиного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загальнообов’язкове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державне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соціальне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підлягає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сплаті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усього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(гр. 1 + гр. 2 + гр. 3 рядка 5.1)»,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якому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відображається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сума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самостійно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нарахованої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звітному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кварталі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(у рядку 5.1 –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місяцями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кварталу).</w:t>
      </w:r>
    </w:p>
    <w:p w:rsidR="00941E1D" w:rsidRDefault="00941E1D" w:rsidP="006D7C49">
      <w:pPr>
        <w:shd w:val="clear" w:color="auto" w:fill="FFFFFF"/>
        <w:spacing w:after="16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val="uk-UA" w:eastAsia="ru-RU"/>
        </w:rPr>
      </w:pP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Особливості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заповнення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Додатку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1 (Д</w:t>
      </w:r>
      <w:proofErr w:type="gram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)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175C15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>Додаток</w:t>
      </w:r>
      <w:proofErr w:type="spellEnd"/>
      <w:r w:rsidRPr="00175C15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 xml:space="preserve"> 1 (Д</w:t>
      </w:r>
      <w:proofErr w:type="gramStart"/>
      <w:r w:rsidRPr="00175C15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>1</w:t>
      </w:r>
      <w:proofErr w:type="gramEnd"/>
      <w:r w:rsidRPr="00175C15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>) 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заробітної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плати (доходу, грошового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застрахованим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особам» практично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аналогом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6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ЄСВ.</w:t>
      </w:r>
    </w:p>
    <w:p w:rsidR="006D7C49" w:rsidRPr="006D7C49" w:rsidRDefault="006D7C49" w:rsidP="006D7C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Найбільш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суттєва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ізниця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полягає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тому,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Д1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містить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графу 25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Ознака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(0, 1)»,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якій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відображається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ознака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«0»,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рядок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потрібно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ввести,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ознака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«1»,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рядок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потрібно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виключити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. Графа 25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заповнюється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тільки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нового» (при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коригуванні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внеску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реквізитів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 та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Уточнюючого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»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виключно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коригуванні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реквізитів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Тобто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тепер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маємо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уніфікацію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порядку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виправлення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помилок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ПДФО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збору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виправлення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помилок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буде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здійснюватися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як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формі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№ 1ДФ).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Д1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щоквартального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формування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платниками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щодо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кожної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застрахованої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відомостей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нарахованої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їй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заробітної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плати (доходу, грошового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розрізі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кварталу.</w:t>
      </w:r>
    </w:p>
    <w:p w:rsidR="006D7C49" w:rsidRPr="006D7C49" w:rsidRDefault="006D7C49" w:rsidP="006D7C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Отже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, </w:t>
      </w:r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за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звітний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квартал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потрібно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подавати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три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Д</w:t>
      </w:r>
      <w:proofErr w:type="gram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1</w:t>
      </w:r>
      <w:proofErr w:type="gram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– за перший,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другий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третій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місяць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такого кварталу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 (у рядку 02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вказується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номер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звітному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кварталі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цифрове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1 до 3).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звітному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кварталі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використовує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працю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фізичних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умовах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трудового договору (контракту)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умовах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передбачених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законодавством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Д1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такий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 не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подається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Особливості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заповнення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Додатку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4 (4ДФ)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 xml:space="preserve"> 4 (4ДФ) 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нарахованого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доходу,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утриманого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сплаченого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 доходи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фізичних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збору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нагадує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форму № 1ДФ.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Проте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цьому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передбачено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персоніфіковане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відображення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тільки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ПДФО,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й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збору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.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Тобто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базу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оподаткування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ПДФО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збору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необхідно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вказувати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кожної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фізичної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особи.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Також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зазначимо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потрібно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подавати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три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4ДФ – 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перший,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другий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третій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такого кварталу.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Особливості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заповнення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Додатку</w:t>
      </w:r>
      <w:proofErr w:type="spellEnd"/>
      <w:r w:rsidRPr="00941E1D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5 (Д5)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 xml:space="preserve"> 5 (Д5) 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трудові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відносини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період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проходження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військової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служби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багато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чому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нагадує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5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СВ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але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деякими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особливостями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Так,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Д5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з’явилися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графи:</w:t>
      </w:r>
    </w:p>
    <w:p w:rsidR="006D7C49" w:rsidRPr="006D7C49" w:rsidRDefault="006D7C49" w:rsidP="006D7C49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Внутрішній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сумісник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(1 – так, 0 –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)»;</w:t>
      </w:r>
    </w:p>
    <w:p w:rsidR="006D7C49" w:rsidRPr="006D7C49" w:rsidRDefault="006D7C49" w:rsidP="006D7C49">
      <w:pPr>
        <w:numPr>
          <w:ilvl w:val="0"/>
          <w:numId w:val="4"/>
        </w:numPr>
        <w:shd w:val="clear" w:color="auto" w:fill="FFFFFF"/>
        <w:spacing w:after="160" w:line="240" w:lineRule="auto"/>
        <w:ind w:left="144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 «Переведено,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посаду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роботу,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переміщено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ідрозділу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(1 – так, 0 –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)».</w:t>
      </w:r>
    </w:p>
    <w:p w:rsidR="006D7C49" w:rsidRPr="006D7C49" w:rsidRDefault="006D7C49" w:rsidP="006D7C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До того ж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нові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п</w:t>
      </w:r>
      <w:proofErr w:type="gram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ідстави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подання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iCs/>
          <w:color w:val="333333"/>
          <w:sz w:val="20"/>
          <w:szCs w:val="20"/>
          <w:bdr w:val="none" w:sz="0" w:space="0" w:color="auto" w:frame="1"/>
          <w:lang w:eastAsia="ru-RU"/>
        </w:rPr>
        <w:t xml:space="preserve"> Д5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: особу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переміщено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одного структурного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підрозділу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переведено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постійну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посаду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роботу у того самого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ЄСВ; особу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нову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посаду.</w:t>
      </w:r>
    </w:p>
    <w:p w:rsidR="00175C15" w:rsidRDefault="00175C15" w:rsidP="006D7C49">
      <w:pPr>
        <w:shd w:val="clear" w:color="auto" w:fill="FFFFFF"/>
        <w:spacing w:after="16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4"/>
          <w:szCs w:val="24"/>
          <w:lang w:val="uk-UA" w:eastAsia="ru-RU"/>
        </w:rPr>
      </w:pP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outlineLvl w:val="2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spellStart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Особливості</w:t>
      </w:r>
      <w:proofErr w:type="spellEnd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заповнення</w:t>
      </w:r>
      <w:proofErr w:type="spellEnd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Додатку</w:t>
      </w:r>
      <w:proofErr w:type="spellEnd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6 (Д</w:t>
      </w:r>
      <w:proofErr w:type="gramStart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6</w:t>
      </w:r>
      <w:proofErr w:type="gramEnd"/>
      <w:r w:rsidRPr="00175C15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)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proofErr w:type="spellStart"/>
      <w:r w:rsidRPr="006D7C49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b/>
          <w:bCs/>
          <w:color w:val="333333"/>
          <w:sz w:val="20"/>
          <w:lang w:eastAsia="ru-RU"/>
        </w:rPr>
        <w:t xml:space="preserve"> 6 (Д6)</w:t>
      </w: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 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Відомості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наявність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ідстав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обліку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стажу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окремим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категоріям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осіб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законодавства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» так само, як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7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ЄСВ,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призначений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платником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ЄСВ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періодів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строків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)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трудової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іншої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діяльності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що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законів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якими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встановлюються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умови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пенсійного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забезпечення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відмінні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загальнообов’язкового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державного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пенсійного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страхування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зараховуються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при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визначенні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права на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відповідну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пенсію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також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періоди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страхового стажу, не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пов’язан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із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трудовою та/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або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професійною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діяльністю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.</w:t>
      </w:r>
    </w:p>
    <w:p w:rsidR="006D7C49" w:rsidRPr="006D7C49" w:rsidRDefault="006D7C49" w:rsidP="006D7C49">
      <w:pPr>
        <w:shd w:val="clear" w:color="auto" w:fill="FFFFFF"/>
        <w:spacing w:after="160" w:line="240" w:lineRule="auto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Новою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є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графа 17 «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Ознакa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(0, 1)» у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таблиці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додатку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</w:t>
      </w:r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6</w:t>
      </w:r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яка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призначена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виправлення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помилок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. Цей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додаток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також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подається</w:t>
      </w:r>
      <w:proofErr w:type="spellEnd"/>
      <w:proofErr w:type="gram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окремо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кожен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місяць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звітного</w:t>
      </w:r>
      <w:proofErr w:type="spellEnd"/>
      <w:r w:rsidRPr="006D7C49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кварталу.</w:t>
      </w:r>
    </w:p>
    <w:p w:rsidR="006D7C49" w:rsidRPr="006D7C49" w:rsidRDefault="006D7C49"/>
    <w:p w:rsidR="006D7C49" w:rsidRDefault="006D7C49">
      <w:pPr>
        <w:rPr>
          <w:lang w:val="uk-UA"/>
        </w:rPr>
      </w:pPr>
    </w:p>
    <w:p w:rsidR="006D7C49" w:rsidRDefault="006D7C49">
      <w:pPr>
        <w:rPr>
          <w:lang w:val="uk-UA"/>
        </w:rPr>
      </w:pP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535"/>
    <w:multiLevelType w:val="multilevel"/>
    <w:tmpl w:val="825A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1772F"/>
    <w:multiLevelType w:val="multilevel"/>
    <w:tmpl w:val="7D8C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72B1D"/>
    <w:multiLevelType w:val="multilevel"/>
    <w:tmpl w:val="640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74CB"/>
    <w:multiLevelType w:val="multilevel"/>
    <w:tmpl w:val="DB56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7C49"/>
    <w:rsid w:val="00175C15"/>
    <w:rsid w:val="006D7C49"/>
    <w:rsid w:val="00941E1D"/>
    <w:rsid w:val="00C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paragraph" w:styleId="1">
    <w:name w:val="heading 1"/>
    <w:basedOn w:val="a"/>
    <w:link w:val="10"/>
    <w:uiPriority w:val="9"/>
    <w:qFormat/>
    <w:rsid w:val="006D7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7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D7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7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D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D7C49"/>
    <w:rPr>
      <w:color w:val="0000FF"/>
      <w:u w:val="single"/>
    </w:rPr>
  </w:style>
  <w:style w:type="character" w:styleId="a7">
    <w:name w:val="Emphasis"/>
    <w:basedOn w:val="a0"/>
    <w:uiPriority w:val="20"/>
    <w:qFormat/>
    <w:rsid w:val="006D7C49"/>
    <w:rPr>
      <w:i/>
      <w:iCs/>
    </w:rPr>
  </w:style>
  <w:style w:type="character" w:styleId="a8">
    <w:name w:val="Strong"/>
    <w:basedOn w:val="a0"/>
    <w:uiPriority w:val="22"/>
    <w:qFormat/>
    <w:rsid w:val="006D7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8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620">
              <w:marLeft w:val="125"/>
              <w:marRight w:val="125"/>
              <w:marTop w:val="25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268">
              <w:marLeft w:val="175"/>
              <w:marRight w:val="125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akon.rada.gov.ua/laws/show/z1304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2021-04-02T05:53:00Z</dcterms:created>
  <dcterms:modified xsi:type="dcterms:W3CDTF">2021-04-02T06:08:00Z</dcterms:modified>
</cp:coreProperties>
</file>