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C" w:rsidRPr="0024712C" w:rsidRDefault="0024712C" w:rsidP="00F03D4C">
      <w:pPr>
        <w:spacing w:after="125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uk-UA" w:eastAsia="ru-RU"/>
        </w:rPr>
      </w:pPr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Як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здійснюється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взяття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на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облік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платника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податків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gram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в</w:t>
      </w:r>
      <w:proofErr w:type="gram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контролюючому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органі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за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неосновним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eastAsia="ru-RU"/>
        </w:rPr>
        <w:t>обліку</w:t>
      </w:r>
      <w:proofErr w:type="spellEnd"/>
      <w:r w:rsidRPr="00F03D4C">
        <w:rPr>
          <w:rFonts w:ascii="Arial" w:eastAsia="Times New Roman" w:hAnsi="Arial" w:cs="Arial"/>
          <w:b/>
          <w:iCs/>
          <w:color w:val="333333"/>
          <w:sz w:val="24"/>
          <w:szCs w:val="24"/>
          <w:lang w:val="uk-UA" w:eastAsia="ru-RU"/>
        </w:rPr>
        <w:t>.</w:t>
      </w:r>
    </w:p>
    <w:p w:rsidR="00F03D4C" w:rsidRDefault="00F03D4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F03D4C" w:rsidRDefault="00F03D4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3140710" cy="1454785"/>
            <wp:effectExtent l="19050" t="0" r="2540" b="0"/>
            <wp:docPr id="1" name="Рисунок 1" descr="Як нерезидентів повідомлятимуть про взяття на облік як платників податків:  затверджено Поря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к нерезидентів повідомлятимуть про взяття на облік як платників податків:  затверджено Поря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D4C" w:rsidRDefault="00F03D4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</w:pP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4712C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Якщо відповідно до законодавства у платника податків, крім обов’язків щодо подання податкових декларацій (розрахунків, звітів) та/або нарахування, утримання або сплати (перерахування) податків, зборів на території адміністративно-територіальної одиниці за своїм місцезнаходженням, виникають такі обов’язки на території іншої адміністративно-територіальної одиниці, то такий платник податків зобов’язаний стати на облік за таким неосновним місцем обліку у відповідному контролюючому органі (п. 7.1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>розд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val="uk-UA" w:eastAsia="ru-RU"/>
        </w:rPr>
        <w:t xml:space="preserve">. </w: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VII Порядку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зборів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затвердженого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наказом МФУ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6" w:anchor="Text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09.12.2011 № 1588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(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Порядок № 1588)).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п. 7.2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VII </w:t>
      </w:r>
      <w:hyperlink r:id="rId7" w:anchor="Text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Порядку № 1588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для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взяття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зобов’язаний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протягом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10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робочих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днів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після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створення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відокремленого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підрозділу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реєстрації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рухомого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нерухомого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майна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відкриття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об’єкта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підрозділу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через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провадиться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діяльність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підлягають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оподаткуванню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пов’язані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подати 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взяття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формою № 17-ОПП (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ф. № 17-ОПП) (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"https://zakon.rada.gov.ua/laws/show/z1562-11" \l "n574" \t "_blank" </w:instrTex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Pr="00F03D4C">
        <w:rPr>
          <w:rFonts w:ascii="Arial" w:eastAsia="Times New Roman" w:hAnsi="Arial" w:cs="Arial"/>
          <w:color w:val="0751D2"/>
          <w:sz w:val="18"/>
          <w:lang w:eastAsia="ru-RU"/>
        </w:rPr>
        <w:t>додаток</w:t>
      </w:r>
      <w:proofErr w:type="spellEnd"/>
      <w:r w:rsidRPr="00F03D4C">
        <w:rPr>
          <w:rFonts w:ascii="Arial" w:eastAsia="Times New Roman" w:hAnsi="Arial" w:cs="Arial"/>
          <w:color w:val="0751D2"/>
          <w:sz w:val="18"/>
          <w:lang w:eastAsia="ru-RU"/>
        </w:rPr>
        <w:t xml:space="preserve"> 9</w: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до Порядку № 1588).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уклали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органом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догові</w:t>
      </w:r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</w:t>
      </w:r>
      <w:proofErr w:type="spellEnd"/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визнання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можуть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подати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ф. </w:t>
      </w:r>
      <w:hyperlink r:id="rId8" w:anchor="n574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17-ОПП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засобами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зв’язку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 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електронній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формі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дотриманням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вимог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законів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щодо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документообігу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довірчих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послуг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ф. </w:t>
      </w:r>
      <w:hyperlink r:id="rId9" w:anchor="n574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17-ОПП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бути подана як 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органу </w:t>
      </w:r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неосновним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</w:t>
      </w:r>
      <w:proofErr w:type="gram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іку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так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до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контролюючого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органу 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основним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обліку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заяви за ф. </w:t>
      </w:r>
      <w:hyperlink r:id="rId10" w:anchor="n574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17-ОПП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органу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 </w:t>
      </w:r>
      <w:proofErr w:type="spellStart"/>
      <w:r w:rsidRPr="00F03D4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розділі</w:t>
      </w:r>
      <w:proofErr w:type="spellEnd"/>
      <w:r w:rsidRPr="00F03D4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3</w: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заяви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зазначити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орган, 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подається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та обрати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адміністративно-територіальні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одиниці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місцезнаходженням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об’єктів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обслуговуються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таким органом.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заяви за ф. </w:t>
      </w:r>
      <w:hyperlink r:id="rId11" w:anchor="n574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17-ОПП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органу </w:t>
      </w:r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основним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proofErr w:type="gram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</w:t>
      </w:r>
      <w:proofErr w:type="gram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 </w:t>
      </w:r>
      <w:proofErr w:type="spellStart"/>
      <w:r w:rsidRPr="00F03D4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розділі</w:t>
      </w:r>
      <w:proofErr w:type="spellEnd"/>
      <w:r w:rsidRPr="00F03D4C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 xml:space="preserve"> 3</w: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заяви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зазначити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всі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контролюючи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органи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у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яких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бажає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стати на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облік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неосновним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обліку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, та обрати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адміністративно-територіальні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одиниці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(за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місцезнаходженням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об’єктів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оподаткування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),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які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обслуговуються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такими органами.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Також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взяття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proofErr w:type="gram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</w:t>
      </w:r>
      <w:proofErr w:type="gram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ік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за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неосновним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місцем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обліку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здійснюється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 xml:space="preserve"> на </w:t>
      </w:r>
      <w:proofErr w:type="spellStart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підставі</w:t>
      </w:r>
      <w:proofErr w:type="spellEnd"/>
      <w:r w:rsidRPr="00F03D4C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:</w:t>
      </w:r>
    </w:p>
    <w:p w:rsidR="0024712C" w:rsidRPr="0024712C" w:rsidRDefault="0024712C" w:rsidP="00F03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повідомлення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об’єкти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об’єкти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пов’язан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через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провадиться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діяльність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формою № 20-ОПП (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повідомленні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ф. № 20-ОПП) (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"https://zakon.rada.gov.ua/laws/show/z1562-11" \l "n576" \t "_blank" </w:instrTex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Pr="00F03D4C">
        <w:rPr>
          <w:rFonts w:ascii="Arial" w:eastAsia="Times New Roman" w:hAnsi="Arial" w:cs="Arial"/>
          <w:color w:val="0751D2"/>
          <w:sz w:val="18"/>
          <w:lang w:eastAsia="ru-RU"/>
        </w:rPr>
        <w:t>додаток</w:t>
      </w:r>
      <w:proofErr w:type="spellEnd"/>
      <w:r w:rsidRPr="00F03D4C">
        <w:rPr>
          <w:rFonts w:ascii="Arial" w:eastAsia="Times New Roman" w:hAnsi="Arial" w:cs="Arial"/>
          <w:color w:val="0751D2"/>
          <w:sz w:val="18"/>
          <w:lang w:eastAsia="ru-RU"/>
        </w:rPr>
        <w:t xml:space="preserve"> 10</w:t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до Порядку № 1588),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платником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VIII </w:t>
      </w:r>
      <w:hyperlink r:id="rId12" w:anchor="Text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Порядку № 1588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якщо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такому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повідомленні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визначив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орган,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якому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бажає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стати на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місцезнаходженням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об’єкта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оподаткування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24712C" w:rsidRPr="0024712C" w:rsidRDefault="0024712C" w:rsidP="00F03D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заяви для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осіб</w:t>
      </w:r>
      <w:proofErr w:type="spellEnd"/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провадять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незалежну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професійну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діяльність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формою № 5-ОПП,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поданої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платником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п. 6.7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VI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п. 9.2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IX </w:t>
      </w:r>
      <w:hyperlink r:id="rId13" w:anchor="Text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Порядку № 1588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та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якщо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такій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зазначив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бажання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стати на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контролюючому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місцезнаходженням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робочого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якщо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визначив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орган,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якому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бажає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стати на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повідомленні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ф. </w:t>
      </w:r>
      <w:hyperlink r:id="rId14" w:anchor="n576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20-ОПП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або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формою </w:t>
      </w:r>
      <w:hyperlink r:id="rId15" w:anchor="n570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5-ОПП</w:t>
        </w:r>
      </w:hyperlink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звільняється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обов’язку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контролюючого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органу заяви за ф. </w:t>
      </w:r>
      <w:hyperlink r:id="rId16" w:anchor="n574" w:tgtFrame="_blank" w:history="1">
        <w:r w:rsidRPr="00F03D4C">
          <w:rPr>
            <w:rFonts w:ascii="Arial" w:eastAsia="Times New Roman" w:hAnsi="Arial" w:cs="Arial"/>
            <w:color w:val="0751D2"/>
            <w:sz w:val="18"/>
            <w:lang w:eastAsia="ru-RU"/>
          </w:rPr>
          <w:t>№ 17-ОПП.</w:t>
        </w:r>
      </w:hyperlink>
    </w:p>
    <w:p w:rsidR="0024712C" w:rsidRPr="0024712C" w:rsidRDefault="0024712C" w:rsidP="00F03D4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органом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</w:t>
      </w:r>
      <w:proofErr w:type="gram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разі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звернення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платника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податків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може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бути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надано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перелік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контролюючих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органів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у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яких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такий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платник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перебуває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неосновним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місцем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обліку</w:t>
      </w:r>
      <w:proofErr w:type="spellEnd"/>
      <w:r w:rsidRPr="002471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57325"/>
    <w:multiLevelType w:val="multilevel"/>
    <w:tmpl w:val="2C84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712C"/>
    <w:rsid w:val="0024712C"/>
    <w:rsid w:val="00CB4200"/>
    <w:rsid w:val="00F03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4712C"/>
    <w:rPr>
      <w:i/>
      <w:iCs/>
    </w:rPr>
  </w:style>
  <w:style w:type="character" w:styleId="a5">
    <w:name w:val="Hyperlink"/>
    <w:basedOn w:val="a0"/>
    <w:uiPriority w:val="99"/>
    <w:semiHidden/>
    <w:unhideWhenUsed/>
    <w:rsid w:val="0024712C"/>
    <w:rPr>
      <w:color w:val="0000FF"/>
      <w:u w:val="single"/>
    </w:rPr>
  </w:style>
  <w:style w:type="character" w:styleId="a6">
    <w:name w:val="Strong"/>
    <w:basedOn w:val="a0"/>
    <w:uiPriority w:val="22"/>
    <w:qFormat/>
    <w:rsid w:val="0024712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2364">
          <w:blockQuote w:val="1"/>
          <w:marLeft w:val="0"/>
          <w:marRight w:val="0"/>
          <w:marTop w:val="0"/>
          <w:marBottom w:val="125"/>
          <w:divBdr>
            <w:top w:val="single" w:sz="4" w:space="9" w:color="6086C4"/>
            <w:left w:val="none" w:sz="0" w:space="0" w:color="auto"/>
            <w:bottom w:val="single" w:sz="4" w:space="9" w:color="6086C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562-11" TargetMode="External"/><Relationship Id="rId13" Type="http://schemas.openxmlformats.org/officeDocument/2006/relationships/hyperlink" Target="https://zakon.rada.gov.ua/laws/show/z1562-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562-11" TargetMode="External"/><Relationship Id="rId12" Type="http://schemas.openxmlformats.org/officeDocument/2006/relationships/hyperlink" Target="https://zakon.rada.gov.ua/laws/show/z1562-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1562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1562-11" TargetMode="External"/><Relationship Id="rId11" Type="http://schemas.openxmlformats.org/officeDocument/2006/relationships/hyperlink" Target="https://zakon.rada.gov.ua/laws/show/z1562-1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akon.rada.gov.ua/laws/show/z1562-11" TargetMode="External"/><Relationship Id="rId10" Type="http://schemas.openxmlformats.org/officeDocument/2006/relationships/hyperlink" Target="https://zakon.rada.gov.ua/laws/show/z1562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562-11" TargetMode="External"/><Relationship Id="rId14" Type="http://schemas.openxmlformats.org/officeDocument/2006/relationships/hyperlink" Target="https://zakon.rada.gov.ua/laws/show/z1562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2021-04-02T06:41:00Z</dcterms:created>
  <dcterms:modified xsi:type="dcterms:W3CDTF">2021-04-02T06:55:00Z</dcterms:modified>
</cp:coreProperties>
</file>